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7509B" w14:textId="77777777" w:rsidR="007B1F82" w:rsidRDefault="007B1F82" w:rsidP="007B1F82">
      <w:pPr>
        <w:jc w:val="center"/>
        <w:rPr>
          <w:sz w:val="32"/>
          <w:szCs w:val="32"/>
        </w:rPr>
      </w:pPr>
    </w:p>
    <w:p w14:paraId="3D3C4B7C" w14:textId="77777777" w:rsidR="007B1F82" w:rsidRDefault="007B1F82" w:rsidP="007B1F82">
      <w:pPr>
        <w:jc w:val="center"/>
        <w:rPr>
          <w:sz w:val="32"/>
          <w:szCs w:val="32"/>
        </w:rPr>
      </w:pPr>
    </w:p>
    <w:p w14:paraId="4D28B394" w14:textId="77777777" w:rsidR="007B1F82" w:rsidRDefault="007B1F82" w:rsidP="007B1F82">
      <w:pPr>
        <w:jc w:val="center"/>
        <w:rPr>
          <w:sz w:val="32"/>
          <w:szCs w:val="32"/>
        </w:rPr>
      </w:pPr>
    </w:p>
    <w:p w14:paraId="2D7E254F" w14:textId="77777777" w:rsidR="005C5154" w:rsidRPr="007B1F82" w:rsidRDefault="007B1F82" w:rsidP="007B1F82">
      <w:pPr>
        <w:jc w:val="center"/>
        <w:rPr>
          <w:sz w:val="32"/>
          <w:szCs w:val="32"/>
        </w:rPr>
      </w:pPr>
      <w:r w:rsidRPr="007B1F82">
        <w:rPr>
          <w:sz w:val="32"/>
          <w:szCs w:val="32"/>
        </w:rPr>
        <w:t>St. Jude Children’s Research Hospital</w:t>
      </w:r>
    </w:p>
    <w:p w14:paraId="5B6A1ACB" w14:textId="77777777" w:rsidR="007B1F82" w:rsidRPr="007B1F82" w:rsidRDefault="007B1F82" w:rsidP="007B1F82">
      <w:pPr>
        <w:jc w:val="center"/>
        <w:rPr>
          <w:sz w:val="32"/>
          <w:szCs w:val="32"/>
        </w:rPr>
      </w:pPr>
    </w:p>
    <w:p w14:paraId="1092C872" w14:textId="77777777" w:rsidR="007B1F82" w:rsidRPr="007B1F82" w:rsidRDefault="007B1F82" w:rsidP="007B1F82">
      <w:pPr>
        <w:jc w:val="center"/>
        <w:rPr>
          <w:sz w:val="32"/>
          <w:szCs w:val="32"/>
        </w:rPr>
      </w:pPr>
    </w:p>
    <w:p w14:paraId="6A208A10" w14:textId="77777777" w:rsidR="007B1F82" w:rsidRPr="007B1F82" w:rsidRDefault="007B1F82" w:rsidP="007B1F82">
      <w:pPr>
        <w:jc w:val="center"/>
        <w:rPr>
          <w:sz w:val="32"/>
          <w:szCs w:val="32"/>
        </w:rPr>
      </w:pPr>
    </w:p>
    <w:p w14:paraId="7D5D810B" w14:textId="77777777" w:rsidR="007B1F82" w:rsidRPr="007B1F82" w:rsidRDefault="007B1F82" w:rsidP="007B1F82">
      <w:pPr>
        <w:jc w:val="center"/>
        <w:rPr>
          <w:sz w:val="32"/>
          <w:szCs w:val="32"/>
        </w:rPr>
      </w:pPr>
    </w:p>
    <w:p w14:paraId="072C7F28" w14:textId="77777777" w:rsidR="007B1F82" w:rsidRPr="007B1F82" w:rsidRDefault="007B1F82" w:rsidP="007B1F82">
      <w:pPr>
        <w:jc w:val="center"/>
        <w:rPr>
          <w:sz w:val="32"/>
          <w:szCs w:val="32"/>
        </w:rPr>
      </w:pPr>
    </w:p>
    <w:p w14:paraId="5116D442" w14:textId="77777777" w:rsidR="007B1F82" w:rsidRPr="007B1F82" w:rsidRDefault="007B1F82" w:rsidP="007B1F82">
      <w:pPr>
        <w:jc w:val="center"/>
        <w:rPr>
          <w:sz w:val="32"/>
          <w:szCs w:val="32"/>
        </w:rPr>
      </w:pPr>
    </w:p>
    <w:p w14:paraId="73D9C0B0" w14:textId="77777777" w:rsidR="007B1F82" w:rsidRPr="007B1F82" w:rsidRDefault="007B1F82" w:rsidP="007B1F82">
      <w:pPr>
        <w:jc w:val="center"/>
        <w:rPr>
          <w:sz w:val="32"/>
          <w:szCs w:val="32"/>
        </w:rPr>
      </w:pPr>
    </w:p>
    <w:p w14:paraId="03C2228B" w14:textId="77777777" w:rsidR="007B1F82" w:rsidRDefault="007B1F82" w:rsidP="007B1F82">
      <w:pPr>
        <w:jc w:val="center"/>
        <w:rPr>
          <w:sz w:val="32"/>
          <w:szCs w:val="32"/>
        </w:rPr>
      </w:pPr>
    </w:p>
    <w:p w14:paraId="49B3D2B0" w14:textId="77777777" w:rsidR="007B1F82" w:rsidRPr="007B1F82" w:rsidRDefault="007B1F82" w:rsidP="007B1F82">
      <w:pPr>
        <w:jc w:val="center"/>
        <w:rPr>
          <w:sz w:val="32"/>
          <w:szCs w:val="32"/>
        </w:rPr>
      </w:pPr>
      <w:r w:rsidRPr="007B1F82">
        <w:rPr>
          <w:sz w:val="32"/>
          <w:szCs w:val="32"/>
        </w:rPr>
        <w:t>Case Study</w:t>
      </w:r>
    </w:p>
    <w:p w14:paraId="12A67984" w14:textId="77777777" w:rsidR="007B1F82" w:rsidRPr="007B1F82" w:rsidRDefault="007B1F82" w:rsidP="007B1F82">
      <w:pPr>
        <w:jc w:val="center"/>
        <w:rPr>
          <w:sz w:val="32"/>
          <w:szCs w:val="32"/>
        </w:rPr>
      </w:pPr>
    </w:p>
    <w:p w14:paraId="17906CAF" w14:textId="77777777" w:rsidR="007B1F82" w:rsidRPr="007B1F82" w:rsidRDefault="007B1F82" w:rsidP="007B1F82">
      <w:pPr>
        <w:jc w:val="center"/>
        <w:rPr>
          <w:sz w:val="32"/>
          <w:szCs w:val="32"/>
        </w:rPr>
      </w:pPr>
    </w:p>
    <w:p w14:paraId="1AA6441A" w14:textId="77777777" w:rsidR="007B1F82" w:rsidRPr="007B1F82" w:rsidRDefault="007B1F82" w:rsidP="007B1F82">
      <w:pPr>
        <w:jc w:val="center"/>
        <w:rPr>
          <w:sz w:val="32"/>
          <w:szCs w:val="32"/>
        </w:rPr>
      </w:pPr>
    </w:p>
    <w:p w14:paraId="778F5AB4" w14:textId="77777777" w:rsidR="007B1F82" w:rsidRPr="007B1F82" w:rsidRDefault="007B1F82" w:rsidP="007B1F82">
      <w:pPr>
        <w:jc w:val="center"/>
        <w:rPr>
          <w:sz w:val="32"/>
          <w:szCs w:val="32"/>
        </w:rPr>
      </w:pPr>
    </w:p>
    <w:p w14:paraId="5197B39C" w14:textId="77777777" w:rsidR="007B1F82" w:rsidRPr="007B1F82" w:rsidRDefault="007B1F82" w:rsidP="007B1F82">
      <w:pPr>
        <w:jc w:val="center"/>
        <w:rPr>
          <w:sz w:val="32"/>
          <w:szCs w:val="32"/>
        </w:rPr>
      </w:pPr>
    </w:p>
    <w:p w14:paraId="43D24A34" w14:textId="77777777" w:rsidR="007B1F82" w:rsidRPr="007B1F82" w:rsidRDefault="007B1F82" w:rsidP="007B1F82">
      <w:pPr>
        <w:jc w:val="center"/>
        <w:rPr>
          <w:sz w:val="32"/>
          <w:szCs w:val="32"/>
        </w:rPr>
      </w:pPr>
    </w:p>
    <w:p w14:paraId="75758142" w14:textId="77777777" w:rsidR="007B1F82" w:rsidRPr="007B1F82" w:rsidRDefault="007B1F82" w:rsidP="007B1F82">
      <w:pPr>
        <w:jc w:val="center"/>
        <w:rPr>
          <w:sz w:val="32"/>
          <w:szCs w:val="32"/>
        </w:rPr>
      </w:pPr>
    </w:p>
    <w:p w14:paraId="37ECAF0C" w14:textId="77777777" w:rsidR="007B1F82" w:rsidRPr="007B1F82" w:rsidRDefault="007B1F82" w:rsidP="007B1F82">
      <w:pPr>
        <w:jc w:val="center"/>
        <w:rPr>
          <w:sz w:val="32"/>
          <w:szCs w:val="32"/>
        </w:rPr>
      </w:pPr>
    </w:p>
    <w:p w14:paraId="0E0432C2" w14:textId="77777777" w:rsidR="007B1F82" w:rsidRPr="007B1F82" w:rsidRDefault="007B1F82" w:rsidP="007B1F82">
      <w:pPr>
        <w:jc w:val="center"/>
        <w:rPr>
          <w:sz w:val="32"/>
          <w:szCs w:val="32"/>
        </w:rPr>
      </w:pPr>
    </w:p>
    <w:p w14:paraId="521BF652" w14:textId="77777777" w:rsidR="007B1F82" w:rsidRPr="007B1F82" w:rsidRDefault="007B1F82" w:rsidP="007B1F82">
      <w:pPr>
        <w:jc w:val="center"/>
        <w:rPr>
          <w:sz w:val="32"/>
          <w:szCs w:val="32"/>
        </w:rPr>
      </w:pPr>
    </w:p>
    <w:p w14:paraId="15C58A53" w14:textId="77777777" w:rsidR="007B1F82" w:rsidRPr="007B1F82" w:rsidRDefault="007B1F82" w:rsidP="007B1F82">
      <w:pPr>
        <w:jc w:val="center"/>
        <w:rPr>
          <w:sz w:val="32"/>
          <w:szCs w:val="32"/>
        </w:rPr>
      </w:pPr>
    </w:p>
    <w:p w14:paraId="56584028" w14:textId="77777777" w:rsidR="007B1F82" w:rsidRPr="007B1F82" w:rsidRDefault="007B1F82" w:rsidP="007B1F82">
      <w:pPr>
        <w:jc w:val="center"/>
        <w:rPr>
          <w:sz w:val="32"/>
          <w:szCs w:val="32"/>
        </w:rPr>
      </w:pPr>
      <w:r w:rsidRPr="007B1F82">
        <w:rPr>
          <w:sz w:val="32"/>
          <w:szCs w:val="32"/>
        </w:rPr>
        <w:t>Brian Chang</w:t>
      </w:r>
    </w:p>
    <w:p w14:paraId="12A22C9B" w14:textId="77777777" w:rsidR="007B1F82" w:rsidRPr="007B1F82" w:rsidRDefault="007B1F82" w:rsidP="007B1F82">
      <w:pPr>
        <w:jc w:val="center"/>
        <w:rPr>
          <w:sz w:val="32"/>
          <w:szCs w:val="32"/>
        </w:rPr>
      </w:pPr>
    </w:p>
    <w:p w14:paraId="7295E343" w14:textId="77777777" w:rsidR="007B1F82" w:rsidRPr="007B1F82" w:rsidRDefault="007B1F82" w:rsidP="007B1F82">
      <w:pPr>
        <w:jc w:val="center"/>
        <w:rPr>
          <w:sz w:val="32"/>
          <w:szCs w:val="32"/>
        </w:rPr>
      </w:pPr>
      <w:r w:rsidRPr="007B1F82">
        <w:rPr>
          <w:sz w:val="32"/>
          <w:szCs w:val="32"/>
        </w:rPr>
        <w:t>HLIF 532</w:t>
      </w:r>
    </w:p>
    <w:p w14:paraId="7B3C80F0" w14:textId="77777777" w:rsidR="007B1F82" w:rsidRPr="007B1F82" w:rsidRDefault="007B1F82" w:rsidP="007B1F82">
      <w:pPr>
        <w:jc w:val="center"/>
        <w:rPr>
          <w:sz w:val="32"/>
          <w:szCs w:val="32"/>
        </w:rPr>
      </w:pPr>
    </w:p>
    <w:p w14:paraId="5B2B8447" w14:textId="77777777" w:rsidR="007B1F82" w:rsidRPr="007B1F82" w:rsidRDefault="007B1F82" w:rsidP="007B1F82">
      <w:pPr>
        <w:jc w:val="center"/>
        <w:rPr>
          <w:sz w:val="32"/>
          <w:szCs w:val="32"/>
        </w:rPr>
      </w:pPr>
      <w:r w:rsidRPr="007B1F82">
        <w:rPr>
          <w:sz w:val="32"/>
          <w:szCs w:val="32"/>
        </w:rPr>
        <w:t>December 13, 2014</w:t>
      </w:r>
    </w:p>
    <w:p w14:paraId="2F7E72D5" w14:textId="77777777" w:rsidR="007B1F82" w:rsidRDefault="007B1F82" w:rsidP="007B1F82">
      <w:pPr>
        <w:jc w:val="center"/>
      </w:pPr>
    </w:p>
    <w:p w14:paraId="21082375" w14:textId="77777777" w:rsidR="007B1F82" w:rsidRDefault="007B1F82" w:rsidP="007B1F82">
      <w:pPr>
        <w:jc w:val="center"/>
      </w:pPr>
    </w:p>
    <w:p w14:paraId="5044FD52" w14:textId="77777777" w:rsidR="007B1F82" w:rsidRDefault="007B1F82" w:rsidP="007B1F82">
      <w:pPr>
        <w:jc w:val="center"/>
      </w:pPr>
    </w:p>
    <w:p w14:paraId="01B70703" w14:textId="77777777" w:rsidR="007B1F82" w:rsidRDefault="007B1F82" w:rsidP="007B1F82">
      <w:pPr>
        <w:jc w:val="center"/>
      </w:pPr>
    </w:p>
    <w:p w14:paraId="6594B7DC" w14:textId="77777777" w:rsidR="007B1F82" w:rsidRDefault="007B1F82" w:rsidP="007B1F82">
      <w:pPr>
        <w:jc w:val="center"/>
      </w:pPr>
    </w:p>
    <w:p w14:paraId="155E4E7D" w14:textId="77777777" w:rsidR="007B1F82" w:rsidRDefault="007B1F82" w:rsidP="007B1F82">
      <w:pPr>
        <w:jc w:val="center"/>
      </w:pPr>
    </w:p>
    <w:p w14:paraId="5DF5DA8A" w14:textId="77777777" w:rsidR="007B1F82" w:rsidRDefault="007B1F82" w:rsidP="007B1F82">
      <w:pPr>
        <w:jc w:val="center"/>
      </w:pPr>
    </w:p>
    <w:p w14:paraId="3BCDC4C3" w14:textId="77777777" w:rsidR="007B1F82" w:rsidRPr="002E70E9" w:rsidRDefault="007B1F82" w:rsidP="007B1F82">
      <w:pPr>
        <w:pStyle w:val="TOCTitle"/>
      </w:pPr>
      <w:r w:rsidRPr="002E70E9">
        <w:lastRenderedPageBreak/>
        <w:t>TABLE OF CONTENTS</w:t>
      </w:r>
    </w:p>
    <w:p w14:paraId="60024481" w14:textId="77777777" w:rsidR="007B1F82" w:rsidRPr="00AF7456" w:rsidRDefault="007B1F82" w:rsidP="007B1F82">
      <w:pPr>
        <w:pStyle w:val="Level2"/>
      </w:pPr>
      <w:r>
        <w:rPr>
          <w:webHidden/>
        </w:rPr>
        <w:t>introduction</w:t>
      </w:r>
      <w:r w:rsidRPr="00AF7456">
        <w:rPr>
          <w:webHidden/>
        </w:rPr>
        <w:tab/>
      </w:r>
    </w:p>
    <w:p w14:paraId="520AF6A2" w14:textId="77777777" w:rsidR="007B1F82" w:rsidRPr="00AF7456" w:rsidRDefault="007B1F82" w:rsidP="007B1F82">
      <w:pPr>
        <w:pStyle w:val="Level3"/>
      </w:pPr>
      <w:r>
        <w:rPr>
          <w:webHidden/>
        </w:rPr>
        <w:t>Overview</w:t>
      </w:r>
      <w:r w:rsidRPr="00AF7456">
        <w:rPr>
          <w:webHidden/>
        </w:rPr>
        <w:tab/>
      </w:r>
      <w:r w:rsidR="00FE0145">
        <w:rPr>
          <w:webHidden/>
        </w:rPr>
        <w:t>3</w:t>
      </w:r>
    </w:p>
    <w:p w14:paraId="09A482AA" w14:textId="77777777" w:rsidR="007B1F82" w:rsidRPr="00AF7456" w:rsidRDefault="007B1F82" w:rsidP="007B1F82">
      <w:pPr>
        <w:pStyle w:val="Level3"/>
      </w:pPr>
      <w:r>
        <w:rPr>
          <w:webHidden/>
        </w:rPr>
        <w:t>About St. Jude Hospital</w:t>
      </w:r>
      <w:r w:rsidRPr="00AF7456">
        <w:rPr>
          <w:webHidden/>
        </w:rPr>
        <w:tab/>
      </w:r>
      <w:r w:rsidR="00FE0145">
        <w:rPr>
          <w:webHidden/>
        </w:rPr>
        <w:t>4</w:t>
      </w:r>
    </w:p>
    <w:p w14:paraId="0735771F" w14:textId="77777777" w:rsidR="007B1F82" w:rsidRPr="00AF7456" w:rsidRDefault="007B1F82" w:rsidP="007B1F82">
      <w:pPr>
        <w:pStyle w:val="Level2"/>
      </w:pPr>
      <w:r>
        <w:rPr>
          <w:webHidden/>
        </w:rPr>
        <w:t>financial statements</w:t>
      </w:r>
      <w:r w:rsidRPr="00AF7456">
        <w:rPr>
          <w:webHidden/>
        </w:rPr>
        <w:tab/>
      </w:r>
    </w:p>
    <w:p w14:paraId="29279F0E" w14:textId="77777777" w:rsidR="007B1F82" w:rsidRPr="00AF7456" w:rsidRDefault="007B1F82" w:rsidP="00CA4B07">
      <w:pPr>
        <w:pStyle w:val="Level2"/>
      </w:pPr>
      <w:r w:rsidRPr="00B62C71">
        <w:rPr>
          <w:smallCaps w:val="0"/>
          <w:webHidden/>
        </w:rPr>
        <w:t>ALSAC – St. Jude</w:t>
      </w:r>
      <w:r>
        <w:rPr>
          <w:smallCaps w:val="0"/>
          <w:webHidden/>
        </w:rPr>
        <w:t xml:space="preserve"> Hospital Combined Financial Statement 2009 </w:t>
      </w:r>
      <w:r w:rsidR="00015263">
        <w:rPr>
          <w:smallCaps w:val="0"/>
          <w:webHidden/>
        </w:rPr>
        <w:t>–</w:t>
      </w:r>
      <w:r>
        <w:rPr>
          <w:smallCaps w:val="0"/>
          <w:webHidden/>
        </w:rPr>
        <w:t xml:space="preserve"> 201</w:t>
      </w:r>
      <w:r w:rsidR="00015263">
        <w:rPr>
          <w:smallCaps w:val="0"/>
          <w:webHidden/>
        </w:rPr>
        <w:t>0…………………….see attached</w:t>
      </w:r>
    </w:p>
    <w:p w14:paraId="700D97CD" w14:textId="77777777" w:rsidR="007B1F82" w:rsidRPr="00AF7456" w:rsidRDefault="007B1F82" w:rsidP="007B1F82">
      <w:pPr>
        <w:pStyle w:val="Level3"/>
        <w:ind w:left="0"/>
      </w:pPr>
      <w:r>
        <w:rPr>
          <w:i w:val="0"/>
          <w:webHidden/>
        </w:rPr>
        <w:t xml:space="preserve">    ALSAC – St. Jude Hospital Combined Financial Statement 2012 </w:t>
      </w:r>
      <w:r w:rsidR="00015263">
        <w:rPr>
          <w:i w:val="0"/>
          <w:webHidden/>
        </w:rPr>
        <w:t>–</w:t>
      </w:r>
      <w:r>
        <w:rPr>
          <w:i w:val="0"/>
          <w:webHidden/>
        </w:rPr>
        <w:t xml:space="preserve"> 20</w:t>
      </w:r>
      <w:r w:rsidR="00015263">
        <w:rPr>
          <w:i w:val="0"/>
          <w:webHidden/>
        </w:rPr>
        <w:t>13…………………….see attached</w:t>
      </w:r>
    </w:p>
    <w:p w14:paraId="54858AC2" w14:textId="77777777" w:rsidR="007B1F82" w:rsidRPr="00AF7456" w:rsidRDefault="007B1F82" w:rsidP="007B1F82">
      <w:pPr>
        <w:pStyle w:val="Level2"/>
      </w:pPr>
      <w:r>
        <w:rPr>
          <w:webHidden/>
        </w:rPr>
        <w:t>Analysis</w:t>
      </w:r>
      <w:r w:rsidRPr="00AF7456">
        <w:rPr>
          <w:webHidden/>
        </w:rPr>
        <w:tab/>
      </w:r>
    </w:p>
    <w:p w14:paraId="222914E9" w14:textId="77777777" w:rsidR="007B1F82" w:rsidRDefault="00CA4B07" w:rsidP="007B1F82">
      <w:pPr>
        <w:pStyle w:val="Level2"/>
        <w:rPr>
          <w:smallCaps w:val="0"/>
          <w:webHidden/>
        </w:rPr>
      </w:pPr>
      <w:r>
        <w:rPr>
          <w:smallCaps w:val="0"/>
          <w:webHidden/>
        </w:rPr>
        <w:t>Chart</w:t>
      </w:r>
      <w:r w:rsidR="00274BB2">
        <w:rPr>
          <w:smallCaps w:val="0"/>
          <w:webHidden/>
        </w:rPr>
        <w:t>s</w:t>
      </w:r>
      <w:r>
        <w:rPr>
          <w:smallCaps w:val="0"/>
          <w:webHidden/>
        </w:rPr>
        <w:t>………………………………………………..………………………………</w:t>
      </w:r>
      <w:r w:rsidR="002579C4">
        <w:rPr>
          <w:smallCaps w:val="0"/>
          <w:webHidden/>
        </w:rPr>
        <w:t>……………………..</w:t>
      </w:r>
      <w:r w:rsidR="00FE0145">
        <w:rPr>
          <w:smallCaps w:val="0"/>
          <w:webHidden/>
        </w:rPr>
        <w:t>5</w:t>
      </w:r>
    </w:p>
    <w:p w14:paraId="1D13FFB8" w14:textId="77777777" w:rsidR="007B1F82" w:rsidRDefault="00CA4B07" w:rsidP="007B1F82">
      <w:pPr>
        <w:pStyle w:val="Level2"/>
        <w:rPr>
          <w:webHidden/>
        </w:rPr>
      </w:pPr>
      <w:r>
        <w:rPr>
          <w:smallCaps w:val="0"/>
          <w:webHidden/>
        </w:rPr>
        <w:t>Financial and Operating Ratios as Performances Measures</w:t>
      </w:r>
      <w:r w:rsidR="007B1F82" w:rsidRPr="00AF7456">
        <w:rPr>
          <w:webHidden/>
        </w:rPr>
        <w:tab/>
      </w:r>
      <w:r w:rsidR="00FE0145">
        <w:rPr>
          <w:webHidden/>
        </w:rPr>
        <w:t>6</w:t>
      </w:r>
    </w:p>
    <w:p w14:paraId="2345FDDA" w14:textId="77777777" w:rsidR="00103C21" w:rsidRPr="00103C21" w:rsidRDefault="00103C21" w:rsidP="007B1F82">
      <w:pPr>
        <w:pStyle w:val="Level2"/>
        <w:rPr>
          <w:smallCaps w:val="0"/>
        </w:rPr>
      </w:pPr>
      <w:r>
        <w:rPr>
          <w:smallCaps w:val="0"/>
          <w:webHidden/>
        </w:rPr>
        <w:t>Trend Analysis……………………………………………………………………………………………..</w:t>
      </w:r>
      <w:r w:rsidR="00FE0145">
        <w:rPr>
          <w:smallCaps w:val="0"/>
          <w:webHidden/>
        </w:rPr>
        <w:t>7</w:t>
      </w:r>
    </w:p>
    <w:p w14:paraId="4F285D06" w14:textId="77777777" w:rsidR="007B1F82" w:rsidRPr="00AF7456" w:rsidRDefault="007B1F82" w:rsidP="007B1F82">
      <w:pPr>
        <w:pStyle w:val="Level2"/>
      </w:pPr>
      <w:r>
        <w:rPr>
          <w:webHidden/>
        </w:rPr>
        <w:t>Conclusion</w:t>
      </w:r>
      <w:r w:rsidRPr="00AF7456">
        <w:rPr>
          <w:webHidden/>
        </w:rPr>
        <w:tab/>
      </w:r>
    </w:p>
    <w:p w14:paraId="5A859E4C" w14:textId="77777777" w:rsidR="007B1F82" w:rsidRPr="00AF7456" w:rsidRDefault="007B1F82" w:rsidP="007B1F82">
      <w:pPr>
        <w:pStyle w:val="Level3"/>
      </w:pPr>
      <w:r>
        <w:rPr>
          <w:webHidden/>
        </w:rPr>
        <w:t>Results</w:t>
      </w:r>
      <w:r w:rsidR="009E2E06">
        <w:rPr>
          <w:webHidden/>
        </w:rPr>
        <w:t xml:space="preserve"> &amp; Impact</w:t>
      </w:r>
      <w:r w:rsidRPr="00AF7456">
        <w:rPr>
          <w:webHidden/>
        </w:rPr>
        <w:tab/>
      </w:r>
      <w:r w:rsidR="00FE0145">
        <w:rPr>
          <w:webHidden/>
        </w:rPr>
        <w:t>8</w:t>
      </w:r>
      <w:r w:rsidR="0046053C">
        <w:rPr>
          <w:webHidden/>
        </w:rPr>
        <w:t>,9</w:t>
      </w:r>
    </w:p>
    <w:p w14:paraId="5316B1C2" w14:textId="77777777" w:rsidR="007B1F82" w:rsidRPr="00AF7456" w:rsidRDefault="007B1F82" w:rsidP="007B1F82">
      <w:pPr>
        <w:pStyle w:val="Level3"/>
      </w:pPr>
    </w:p>
    <w:p w14:paraId="28AE4BC0" w14:textId="77777777" w:rsidR="007B1F82" w:rsidRDefault="007B1F82" w:rsidP="007B1F82">
      <w:pPr>
        <w:jc w:val="center"/>
      </w:pPr>
    </w:p>
    <w:p w14:paraId="419CCA49" w14:textId="77777777" w:rsidR="007B1F82" w:rsidRDefault="007B1F82" w:rsidP="007B1F82">
      <w:pPr>
        <w:jc w:val="center"/>
      </w:pPr>
    </w:p>
    <w:p w14:paraId="37091B93" w14:textId="77777777" w:rsidR="007B1F82" w:rsidRDefault="007B1F82" w:rsidP="007B1F82">
      <w:bookmarkStart w:id="0" w:name="_GoBack"/>
      <w:bookmarkEnd w:id="0"/>
    </w:p>
    <w:p w14:paraId="7373B40F" w14:textId="77777777" w:rsidR="007B1F82" w:rsidRDefault="007B1F82" w:rsidP="007B1F82"/>
    <w:p w14:paraId="38CFA59A" w14:textId="77777777" w:rsidR="007B1F82" w:rsidRDefault="007B1F82" w:rsidP="007B1F82"/>
    <w:p w14:paraId="1110CC0E" w14:textId="77777777" w:rsidR="007B1F82" w:rsidRDefault="007B1F82" w:rsidP="007B1F82"/>
    <w:p w14:paraId="4C70F706" w14:textId="77777777" w:rsidR="007B1F82" w:rsidRDefault="007B1F82" w:rsidP="007B1F82"/>
    <w:p w14:paraId="24C17507" w14:textId="77777777" w:rsidR="007B1F82" w:rsidRDefault="007B1F82" w:rsidP="007B1F82"/>
    <w:p w14:paraId="2CB34AD6" w14:textId="77777777" w:rsidR="007B1F82" w:rsidRDefault="007B1F82" w:rsidP="007B1F82"/>
    <w:p w14:paraId="754ABD8B" w14:textId="77777777" w:rsidR="007B1F82" w:rsidRDefault="007B1F82" w:rsidP="007B1F82"/>
    <w:p w14:paraId="4F567A7A" w14:textId="77777777" w:rsidR="007B1F82" w:rsidRDefault="007B1F82" w:rsidP="007B1F82"/>
    <w:p w14:paraId="43A57343" w14:textId="77777777" w:rsidR="007B1F82" w:rsidRDefault="007B1F82" w:rsidP="007B1F82"/>
    <w:p w14:paraId="3D439C1E" w14:textId="77777777" w:rsidR="007B1F82" w:rsidRDefault="007B1F82" w:rsidP="007B1F82"/>
    <w:p w14:paraId="65C90F60" w14:textId="77777777" w:rsidR="007B1F82" w:rsidRDefault="007B1F82" w:rsidP="007B1F82"/>
    <w:p w14:paraId="6D5FC5F7" w14:textId="77777777" w:rsidR="007B1F82" w:rsidRDefault="007B1F82" w:rsidP="007B1F82"/>
    <w:p w14:paraId="0E3A8ABF" w14:textId="77777777" w:rsidR="007B1F82" w:rsidRDefault="007B1F82" w:rsidP="007B1F82"/>
    <w:p w14:paraId="76E97828" w14:textId="77777777" w:rsidR="007B1F82" w:rsidRDefault="007B1F82" w:rsidP="007B1F82"/>
    <w:p w14:paraId="75B38E44" w14:textId="77777777" w:rsidR="007B1F82" w:rsidRDefault="007B1F82" w:rsidP="007B1F82"/>
    <w:p w14:paraId="0465AABD" w14:textId="77777777" w:rsidR="007B1F82" w:rsidRDefault="007B1F82" w:rsidP="007B1F82"/>
    <w:p w14:paraId="4B53B4A7" w14:textId="77777777" w:rsidR="007B1F82" w:rsidRDefault="007B1F82" w:rsidP="007B1F82"/>
    <w:p w14:paraId="65465A02" w14:textId="77777777" w:rsidR="007B1F82" w:rsidRDefault="007B1F82" w:rsidP="007B1F82"/>
    <w:p w14:paraId="56F7FBC8" w14:textId="77777777" w:rsidR="007B1F82" w:rsidRDefault="007B1F82" w:rsidP="007B1F82"/>
    <w:p w14:paraId="02830792" w14:textId="77777777" w:rsidR="007B1F82" w:rsidRDefault="007B1F82" w:rsidP="007B1F82"/>
    <w:p w14:paraId="77C60C55" w14:textId="77777777" w:rsidR="007B1F82" w:rsidRDefault="007B1F82" w:rsidP="007B1F82"/>
    <w:p w14:paraId="03D3FDBD" w14:textId="77777777" w:rsidR="007B1F82" w:rsidRDefault="007B1F82" w:rsidP="007B1F82"/>
    <w:p w14:paraId="76B9F294" w14:textId="77777777" w:rsidR="007B1F82" w:rsidRDefault="007B1F82" w:rsidP="007B1F82"/>
    <w:p w14:paraId="569C1D70" w14:textId="77777777" w:rsidR="007B1F82" w:rsidRDefault="007B1F82" w:rsidP="007B1F82"/>
    <w:p w14:paraId="3E222D53" w14:textId="77777777" w:rsidR="00274BB2" w:rsidRDefault="00274BB2" w:rsidP="007B1F82">
      <w:pPr>
        <w:jc w:val="center"/>
      </w:pPr>
    </w:p>
    <w:p w14:paraId="4031A89C" w14:textId="77777777" w:rsidR="00274BB2" w:rsidRDefault="00274BB2" w:rsidP="007B1F82">
      <w:pPr>
        <w:jc w:val="center"/>
      </w:pPr>
    </w:p>
    <w:p w14:paraId="4C1E523F" w14:textId="77777777" w:rsidR="002579C4" w:rsidRDefault="002579C4" w:rsidP="007B1F82">
      <w:pPr>
        <w:jc w:val="center"/>
      </w:pPr>
    </w:p>
    <w:p w14:paraId="4246121A" w14:textId="77777777" w:rsidR="002579C4" w:rsidRDefault="002579C4" w:rsidP="007B1F82">
      <w:pPr>
        <w:jc w:val="center"/>
      </w:pPr>
    </w:p>
    <w:p w14:paraId="153159C6" w14:textId="77777777" w:rsidR="002579C4" w:rsidRDefault="002579C4" w:rsidP="007B1F82">
      <w:pPr>
        <w:jc w:val="center"/>
      </w:pPr>
    </w:p>
    <w:p w14:paraId="214DAABE" w14:textId="77777777" w:rsidR="002579C4" w:rsidRDefault="002579C4" w:rsidP="007B1F82">
      <w:pPr>
        <w:jc w:val="center"/>
      </w:pPr>
    </w:p>
    <w:p w14:paraId="3B9BFC23" w14:textId="77777777" w:rsidR="002579C4" w:rsidRDefault="002579C4" w:rsidP="007B1F82">
      <w:pPr>
        <w:jc w:val="center"/>
      </w:pPr>
    </w:p>
    <w:p w14:paraId="6A249EA2" w14:textId="77777777" w:rsidR="007B1F82" w:rsidRDefault="007B1F82" w:rsidP="007B1F82">
      <w:pPr>
        <w:jc w:val="center"/>
      </w:pPr>
      <w:r>
        <w:t>Overview</w:t>
      </w:r>
    </w:p>
    <w:p w14:paraId="19E6977A" w14:textId="77777777" w:rsidR="00FE0145" w:rsidRDefault="00FE0145" w:rsidP="007B1F82">
      <w:pPr>
        <w:jc w:val="center"/>
      </w:pPr>
    </w:p>
    <w:p w14:paraId="3E4DE901" w14:textId="77777777" w:rsidR="007B1F82" w:rsidRDefault="007B1F82" w:rsidP="007B1F82">
      <w:pPr>
        <w:jc w:val="center"/>
      </w:pPr>
    </w:p>
    <w:p w14:paraId="4DF0A25B" w14:textId="77777777" w:rsidR="007B1F82" w:rsidRDefault="006439F0" w:rsidP="00FE0145">
      <w:pPr>
        <w:spacing w:line="480" w:lineRule="auto"/>
      </w:pPr>
      <w:r>
        <w:tab/>
        <w:t>This Case Study is a financial analysis of St. Jude Children’s Research Hospital based on official financial statements from the 2009-2010 and 2012-2013</w:t>
      </w:r>
      <w:r w:rsidR="00B21E69">
        <w:t xml:space="preserve">.  This Case Study is intended to show potential investors and charities the financial strength of this organization through the use of several financial tools. Charts were used to depict total program and supporting expenses from 2009 to 2013 as well as various cash flow comparisons.  Financial and Operational ratios were used as performance measures to indict how well or poorly St. Jude has performed in 2009 vs 2013.  Lastly, a </w:t>
      </w:r>
      <w:r w:rsidR="00FE0145">
        <w:t>trend analysis was performed on St. Jude’s liabilities.</w:t>
      </w:r>
    </w:p>
    <w:p w14:paraId="2391527B" w14:textId="77777777" w:rsidR="007B1F82" w:rsidRDefault="007B1F82" w:rsidP="00FE0145">
      <w:pPr>
        <w:spacing w:line="480" w:lineRule="auto"/>
      </w:pPr>
    </w:p>
    <w:p w14:paraId="1915EEDC" w14:textId="77777777" w:rsidR="007B1F82" w:rsidRDefault="007B1F82" w:rsidP="007B1F82"/>
    <w:p w14:paraId="79792DE8" w14:textId="77777777" w:rsidR="007B1F82" w:rsidRDefault="007B1F82" w:rsidP="007B1F82"/>
    <w:p w14:paraId="38E32221" w14:textId="77777777" w:rsidR="007B1F82" w:rsidRDefault="007B1F82" w:rsidP="007B1F82"/>
    <w:p w14:paraId="7CA127C6" w14:textId="77777777" w:rsidR="007B1F82" w:rsidRDefault="007B1F82" w:rsidP="007B1F82"/>
    <w:p w14:paraId="4D7FC453" w14:textId="77777777" w:rsidR="007B1F82" w:rsidRDefault="007B1F82" w:rsidP="007B1F82"/>
    <w:p w14:paraId="399B857C" w14:textId="77777777" w:rsidR="007B1F82" w:rsidRDefault="007B1F82" w:rsidP="007B1F82"/>
    <w:p w14:paraId="1E5CBE04" w14:textId="77777777" w:rsidR="007B1F82" w:rsidRDefault="007B1F82" w:rsidP="007B1F82"/>
    <w:p w14:paraId="66F25C5E" w14:textId="77777777" w:rsidR="007B1F82" w:rsidRDefault="007B1F82" w:rsidP="007B1F82"/>
    <w:p w14:paraId="7ACE75D6" w14:textId="77777777" w:rsidR="007B1F82" w:rsidRDefault="007B1F82" w:rsidP="007B1F82"/>
    <w:p w14:paraId="5D8B7DF7" w14:textId="77777777" w:rsidR="007B1F82" w:rsidRDefault="007B1F82" w:rsidP="007B1F82"/>
    <w:p w14:paraId="4B6C43DF" w14:textId="77777777" w:rsidR="007B1F82" w:rsidRDefault="007B1F82" w:rsidP="007B1F82"/>
    <w:p w14:paraId="1374A55F" w14:textId="77777777" w:rsidR="007B1F82" w:rsidRDefault="007B1F82" w:rsidP="007B1F82"/>
    <w:p w14:paraId="7CF8DB70" w14:textId="77777777" w:rsidR="007B1F82" w:rsidRDefault="007B1F82" w:rsidP="007B1F82"/>
    <w:p w14:paraId="72076526" w14:textId="77777777" w:rsidR="007B1F82" w:rsidRDefault="007B1F82" w:rsidP="007B1F82"/>
    <w:p w14:paraId="20C0609D" w14:textId="77777777" w:rsidR="007B1F82" w:rsidRDefault="007B1F82" w:rsidP="007B1F82"/>
    <w:p w14:paraId="0F47199D" w14:textId="77777777" w:rsidR="007B1F82" w:rsidRDefault="007B1F82" w:rsidP="007B1F82"/>
    <w:p w14:paraId="35AE66D1" w14:textId="77777777" w:rsidR="007B1F82" w:rsidRDefault="007B1F82" w:rsidP="007B1F82"/>
    <w:p w14:paraId="7EAB1E0A" w14:textId="77777777" w:rsidR="007B1F82" w:rsidRDefault="007B1F82" w:rsidP="007B1F82"/>
    <w:p w14:paraId="05AC55BB" w14:textId="77777777" w:rsidR="007B1F82" w:rsidRDefault="007B1F82" w:rsidP="007B1F82"/>
    <w:p w14:paraId="3F619038" w14:textId="77777777" w:rsidR="007B1F82" w:rsidRDefault="007B1F82" w:rsidP="007B1F82"/>
    <w:p w14:paraId="1CE69168" w14:textId="77777777" w:rsidR="007B1F82" w:rsidRDefault="007B1F82" w:rsidP="007B1F82"/>
    <w:p w14:paraId="54650D2F" w14:textId="77777777" w:rsidR="007B1F82" w:rsidRDefault="007B1F82" w:rsidP="007B1F82"/>
    <w:p w14:paraId="43B7AC13" w14:textId="77777777" w:rsidR="007B1F82" w:rsidRDefault="007B1F82" w:rsidP="007B1F82"/>
    <w:p w14:paraId="7851333C" w14:textId="77777777" w:rsidR="007B1F82" w:rsidRDefault="007B1F82" w:rsidP="007B1F82"/>
    <w:p w14:paraId="5E2778EF" w14:textId="77777777" w:rsidR="007B1F82" w:rsidRDefault="007B1F82" w:rsidP="007B1F82"/>
    <w:p w14:paraId="2B5757A5" w14:textId="77777777" w:rsidR="007B1F82" w:rsidRDefault="007B1F82" w:rsidP="007B1F82"/>
    <w:p w14:paraId="50CA2138" w14:textId="77777777" w:rsidR="007B1F82" w:rsidRDefault="007B1F82" w:rsidP="007B1F82"/>
    <w:p w14:paraId="756937BC" w14:textId="77777777" w:rsidR="007B1F82" w:rsidRDefault="007B1F82" w:rsidP="007B1F82"/>
    <w:p w14:paraId="608C11B2" w14:textId="77777777" w:rsidR="007B1F82" w:rsidRDefault="007B1F82" w:rsidP="007B1F82">
      <w:pPr>
        <w:jc w:val="center"/>
      </w:pPr>
      <w:r>
        <w:t>About St. Jude Children’s Research Hospital</w:t>
      </w:r>
    </w:p>
    <w:p w14:paraId="788FB0CD" w14:textId="77777777" w:rsidR="007B1F82" w:rsidRDefault="007B1F82" w:rsidP="007B1F82">
      <w:pPr>
        <w:jc w:val="center"/>
      </w:pPr>
    </w:p>
    <w:p w14:paraId="3B7EB231" w14:textId="77777777" w:rsidR="00E56589" w:rsidRDefault="00E56589" w:rsidP="007B1F82">
      <w:pPr>
        <w:jc w:val="center"/>
      </w:pPr>
    </w:p>
    <w:p w14:paraId="0686D640" w14:textId="77777777" w:rsidR="00E56589" w:rsidRDefault="00E56589" w:rsidP="007B1F82">
      <w:pPr>
        <w:jc w:val="center"/>
      </w:pPr>
    </w:p>
    <w:p w14:paraId="7DD5FD8F" w14:textId="77777777" w:rsidR="00E56589" w:rsidRDefault="00E56589" w:rsidP="00E56589">
      <w:pPr>
        <w:spacing w:line="480" w:lineRule="auto"/>
        <w:jc w:val="center"/>
      </w:pPr>
    </w:p>
    <w:p w14:paraId="156D4C84" w14:textId="77777777" w:rsidR="007B1F82" w:rsidRDefault="007B1F82" w:rsidP="00E56589">
      <w:pPr>
        <w:pStyle w:val="ListParagraph"/>
        <w:numPr>
          <w:ilvl w:val="0"/>
          <w:numId w:val="1"/>
        </w:numPr>
        <w:spacing w:line="480" w:lineRule="auto"/>
      </w:pPr>
      <w:r>
        <w:t>Founded in 1962</w:t>
      </w:r>
    </w:p>
    <w:p w14:paraId="1D1D1748" w14:textId="77777777" w:rsidR="007B1F82" w:rsidRDefault="007B1F82" w:rsidP="00E56589">
      <w:pPr>
        <w:pStyle w:val="ListParagraph"/>
        <w:numPr>
          <w:ilvl w:val="0"/>
          <w:numId w:val="1"/>
        </w:numPr>
        <w:spacing w:line="480" w:lineRule="auto"/>
      </w:pPr>
      <w:r>
        <w:t>Primarily a pediatric treatment and research hospital</w:t>
      </w:r>
    </w:p>
    <w:p w14:paraId="0012E8E5" w14:textId="77777777" w:rsidR="007B1F82" w:rsidRDefault="007B1F82" w:rsidP="00E56589">
      <w:pPr>
        <w:pStyle w:val="ListParagraph"/>
        <w:numPr>
          <w:ilvl w:val="0"/>
          <w:numId w:val="1"/>
        </w:numPr>
        <w:spacing w:line="480" w:lineRule="auto"/>
      </w:pPr>
      <w:r>
        <w:t>St. Jude’s expertise or field of research is children’s catastrophic diseases</w:t>
      </w:r>
    </w:p>
    <w:p w14:paraId="707D5475" w14:textId="77777777" w:rsidR="007B1F82" w:rsidRDefault="007B1F82" w:rsidP="00E56589">
      <w:pPr>
        <w:pStyle w:val="ListParagraph"/>
        <w:numPr>
          <w:ilvl w:val="0"/>
          <w:numId w:val="1"/>
        </w:numPr>
        <w:spacing w:line="480" w:lineRule="auto"/>
      </w:pPr>
      <w:r>
        <w:t>It’s primary location is in Memphis, Tennessee</w:t>
      </w:r>
    </w:p>
    <w:p w14:paraId="131E0059" w14:textId="77777777" w:rsidR="007B1F82" w:rsidRDefault="007B1F82" w:rsidP="00E56589">
      <w:pPr>
        <w:pStyle w:val="ListParagraph"/>
        <w:numPr>
          <w:ilvl w:val="0"/>
          <w:numId w:val="1"/>
        </w:numPr>
        <w:spacing w:line="480" w:lineRule="auto"/>
      </w:pPr>
      <w:r>
        <w:t>Cutting edge cancer treatment since it’s establishment.  The survival rate for acute lymphobastic leukemia has dramatically increased from 4% back in 1962 to 94% today.</w:t>
      </w:r>
    </w:p>
    <w:p w14:paraId="0100108E" w14:textId="77777777" w:rsidR="007B1F82" w:rsidRDefault="007B1F82" w:rsidP="00E56589">
      <w:pPr>
        <w:pStyle w:val="ListParagraph"/>
        <w:numPr>
          <w:ilvl w:val="0"/>
          <w:numId w:val="1"/>
        </w:numPr>
        <w:spacing w:line="480" w:lineRule="auto"/>
      </w:pPr>
      <w:r>
        <w:t>Overall cancer survival rate for children has significantly increased with credit to St. Jude.</w:t>
      </w:r>
    </w:p>
    <w:p w14:paraId="7A87D03A" w14:textId="77777777" w:rsidR="007B1F82" w:rsidRDefault="007B1F82" w:rsidP="00E56589">
      <w:pPr>
        <w:pStyle w:val="ListParagraph"/>
        <w:numPr>
          <w:ilvl w:val="0"/>
          <w:numId w:val="1"/>
        </w:numPr>
        <w:spacing w:line="480" w:lineRule="auto"/>
      </w:pPr>
      <w:r>
        <w:t>St. Jude has treated children from all over the world, in which some of the most difficult cases being treated in their primary location</w:t>
      </w:r>
    </w:p>
    <w:p w14:paraId="474C4D90" w14:textId="77777777" w:rsidR="007B1F82" w:rsidRDefault="007B1F82" w:rsidP="00E56589">
      <w:pPr>
        <w:pStyle w:val="ListParagraph"/>
        <w:numPr>
          <w:ilvl w:val="0"/>
          <w:numId w:val="1"/>
        </w:numPr>
        <w:spacing w:line="480" w:lineRule="auto"/>
      </w:pPr>
      <w:r>
        <w:t>Patients are treated regardless of their family’s ability to pay, regardless of the patient’s insurance or lack thereof.</w:t>
      </w:r>
    </w:p>
    <w:p w14:paraId="55486281" w14:textId="77777777" w:rsidR="007B1F82" w:rsidRDefault="007B1F82" w:rsidP="00E56589">
      <w:pPr>
        <w:pStyle w:val="ListParagraph"/>
        <w:numPr>
          <w:ilvl w:val="0"/>
          <w:numId w:val="1"/>
        </w:numPr>
        <w:spacing w:line="480" w:lineRule="auto"/>
      </w:pPr>
      <w:r>
        <w:t>The hospital incurs almost $2 million dollars of operating costs daily</w:t>
      </w:r>
    </w:p>
    <w:p w14:paraId="54F7DCDB" w14:textId="77777777" w:rsidR="007B1F82" w:rsidRDefault="00E56589" w:rsidP="00E56589">
      <w:pPr>
        <w:pStyle w:val="ListParagraph"/>
        <w:numPr>
          <w:ilvl w:val="0"/>
          <w:numId w:val="1"/>
        </w:numPr>
        <w:spacing w:line="480" w:lineRule="auto"/>
      </w:pPr>
      <w:r>
        <w:t>“As of 2012, 81 cents of every dollar donated to St. Jude goes directly to its research and treatment” (St. Jude 2012).</w:t>
      </w:r>
    </w:p>
    <w:p w14:paraId="43E0B046" w14:textId="77777777" w:rsidR="00E56589" w:rsidRDefault="00E56589" w:rsidP="00E56589">
      <w:pPr>
        <w:spacing w:line="480" w:lineRule="auto"/>
      </w:pPr>
    </w:p>
    <w:p w14:paraId="1DD74ACB" w14:textId="77777777" w:rsidR="00FE0145" w:rsidRDefault="00FE0145" w:rsidP="00CA4B07">
      <w:pPr>
        <w:spacing w:line="480" w:lineRule="auto"/>
        <w:jc w:val="center"/>
      </w:pPr>
    </w:p>
    <w:p w14:paraId="675D0DA8" w14:textId="77777777" w:rsidR="00CA4B07" w:rsidRDefault="00CA4B07" w:rsidP="00CA4B07">
      <w:pPr>
        <w:spacing w:line="480" w:lineRule="auto"/>
        <w:jc w:val="center"/>
      </w:pPr>
      <w:r>
        <w:t>Chart</w:t>
      </w:r>
      <w:r w:rsidR="00274BB2">
        <w:t>s</w:t>
      </w:r>
    </w:p>
    <w:p w14:paraId="77E1E3E8" w14:textId="77777777" w:rsidR="00CA4B07" w:rsidRDefault="00274BB2" w:rsidP="00CA4B07">
      <w:pPr>
        <w:spacing w:line="480" w:lineRule="auto"/>
        <w:jc w:val="center"/>
      </w:pPr>
      <w:r>
        <w:rPr>
          <w:noProof/>
        </w:rPr>
        <w:drawing>
          <wp:inline distT="0" distB="0" distL="0" distR="0" wp14:anchorId="54A5EE97" wp14:editId="7CBEF736">
            <wp:extent cx="5486400" cy="3563519"/>
            <wp:effectExtent l="0" t="0" r="2540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F1417B" w14:textId="77777777" w:rsidR="00CA4B07" w:rsidRDefault="00CA4B07" w:rsidP="00CA4B07">
      <w:pPr>
        <w:spacing w:line="480" w:lineRule="auto"/>
        <w:jc w:val="center"/>
      </w:pPr>
    </w:p>
    <w:p w14:paraId="5569CB72" w14:textId="77777777" w:rsidR="00274BB2" w:rsidRDefault="00B21E69" w:rsidP="00E56589">
      <w:pPr>
        <w:spacing w:line="480" w:lineRule="auto"/>
      </w:pPr>
      <w:r>
        <w:rPr>
          <w:noProof/>
        </w:rPr>
        <w:drawing>
          <wp:inline distT="0" distB="0" distL="0" distR="0" wp14:anchorId="451EC316" wp14:editId="482EEF32">
            <wp:extent cx="5486400" cy="2790540"/>
            <wp:effectExtent l="0" t="0" r="25400" b="292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AEC45B" w14:textId="77777777" w:rsidR="00B21E69" w:rsidRDefault="00B21E69" w:rsidP="002579C4">
      <w:pPr>
        <w:spacing w:line="480" w:lineRule="auto"/>
        <w:jc w:val="center"/>
      </w:pPr>
    </w:p>
    <w:p w14:paraId="09AFBF23" w14:textId="77777777" w:rsidR="00FE0145" w:rsidRDefault="00FE0145" w:rsidP="00B21E69">
      <w:pPr>
        <w:spacing w:line="480" w:lineRule="auto"/>
        <w:jc w:val="center"/>
      </w:pPr>
    </w:p>
    <w:p w14:paraId="364460A8" w14:textId="77777777" w:rsidR="002579C4" w:rsidRDefault="002579C4" w:rsidP="00B21E69">
      <w:pPr>
        <w:spacing w:line="480" w:lineRule="auto"/>
        <w:jc w:val="center"/>
      </w:pPr>
      <w:r>
        <w:t>Financial and Operating Ratios as Performance Measures</w:t>
      </w:r>
    </w:p>
    <w:p w14:paraId="783CD6AF" w14:textId="77777777" w:rsidR="00103C21" w:rsidRDefault="00103C21" w:rsidP="002579C4">
      <w:pPr>
        <w:spacing w:line="480" w:lineRule="auto"/>
      </w:pPr>
    </w:p>
    <w:p w14:paraId="5104E69E" w14:textId="77777777" w:rsidR="00103C21" w:rsidRDefault="002579C4" w:rsidP="002579C4">
      <w:pPr>
        <w:spacing w:line="480" w:lineRule="auto"/>
      </w:pPr>
      <w:r>
        <w:t>Liquidity Ratios</w:t>
      </w:r>
    </w:p>
    <w:p w14:paraId="44101CBB" w14:textId="77777777" w:rsidR="004276A0" w:rsidRDefault="002579C4" w:rsidP="002579C4">
      <w:pPr>
        <w:spacing w:line="480" w:lineRule="auto"/>
        <w:rPr>
          <w:i/>
        </w:rPr>
      </w:pPr>
      <w:r>
        <w:rPr>
          <w:i/>
        </w:rPr>
        <w:t>Current Ratio</w:t>
      </w:r>
    </w:p>
    <w:p w14:paraId="392B09E6" w14:textId="77777777" w:rsidR="004276A0" w:rsidRDefault="004276A0" w:rsidP="002579C4">
      <w:pPr>
        <w:spacing w:line="480" w:lineRule="auto"/>
      </w:pPr>
      <w:r>
        <w:rPr>
          <w:i/>
        </w:rPr>
        <w:tab/>
      </w:r>
      <w:r>
        <w:t>2009:  $2,265,111,944 / $358,098,531 = about 6 to 1</w:t>
      </w:r>
    </w:p>
    <w:p w14:paraId="43279FD6" w14:textId="77777777" w:rsidR="0002377A" w:rsidRDefault="004276A0" w:rsidP="002579C4">
      <w:pPr>
        <w:spacing w:line="480" w:lineRule="auto"/>
      </w:pPr>
      <w:r>
        <w:tab/>
        <w:t xml:space="preserve">2013:  $2,981,918,322 / $364,162,057 = about </w:t>
      </w:r>
      <w:r w:rsidR="0002377A">
        <w:t>8 to 1</w:t>
      </w:r>
    </w:p>
    <w:p w14:paraId="622BA211" w14:textId="77777777" w:rsidR="00103C21" w:rsidRPr="0002377A" w:rsidRDefault="00103C21" w:rsidP="002579C4">
      <w:pPr>
        <w:spacing w:line="480" w:lineRule="auto"/>
      </w:pPr>
    </w:p>
    <w:p w14:paraId="3EF55166" w14:textId="77777777" w:rsidR="0002377A" w:rsidRDefault="0002377A" w:rsidP="002579C4">
      <w:pPr>
        <w:spacing w:line="480" w:lineRule="auto"/>
      </w:pPr>
      <w:r>
        <w:t>Profitability Ratios</w:t>
      </w:r>
    </w:p>
    <w:p w14:paraId="64408D1F" w14:textId="77777777" w:rsidR="0002377A" w:rsidRDefault="0002377A" w:rsidP="002579C4">
      <w:pPr>
        <w:spacing w:line="480" w:lineRule="auto"/>
        <w:rPr>
          <w:i/>
        </w:rPr>
      </w:pPr>
      <w:r>
        <w:rPr>
          <w:i/>
        </w:rPr>
        <w:t>Operating Margin (%)</w:t>
      </w:r>
    </w:p>
    <w:p w14:paraId="1B72BAA7" w14:textId="77777777" w:rsidR="0002377A" w:rsidRPr="0002377A" w:rsidRDefault="0002377A" w:rsidP="002579C4">
      <w:pPr>
        <w:spacing w:line="480" w:lineRule="auto"/>
      </w:pPr>
      <w:r>
        <w:rPr>
          <w:i/>
        </w:rPr>
        <w:tab/>
      </w:r>
      <w:r>
        <w:t xml:space="preserve">2009:  $581,066,746 / </w:t>
      </w:r>
      <w:r w:rsidR="00103C21">
        <w:t>$1,168,898,141 (revenues + gains and other support) =  4.9%</w:t>
      </w:r>
    </w:p>
    <w:p w14:paraId="1B6F4AB9" w14:textId="77777777" w:rsidR="002579C4" w:rsidRDefault="00103C21" w:rsidP="002579C4">
      <w:pPr>
        <w:spacing w:line="480" w:lineRule="auto"/>
      </w:pPr>
      <w:r>
        <w:tab/>
        <w:t>2013:  $670,845,712 / $1,784,647,534 (revenues + gains and other support) =  3.7%</w:t>
      </w:r>
    </w:p>
    <w:p w14:paraId="17925B93" w14:textId="77777777" w:rsidR="00274BB2" w:rsidRDefault="00274BB2" w:rsidP="00E56589">
      <w:pPr>
        <w:spacing w:line="480" w:lineRule="auto"/>
      </w:pPr>
    </w:p>
    <w:p w14:paraId="64CFCB00" w14:textId="77777777" w:rsidR="00274BB2" w:rsidRDefault="00274BB2" w:rsidP="00B21E69">
      <w:pPr>
        <w:spacing w:line="480" w:lineRule="auto"/>
        <w:jc w:val="center"/>
      </w:pPr>
    </w:p>
    <w:p w14:paraId="12ABAC79" w14:textId="77777777" w:rsidR="00274BB2" w:rsidRDefault="00274BB2" w:rsidP="00E56589">
      <w:pPr>
        <w:spacing w:line="480" w:lineRule="auto"/>
      </w:pPr>
    </w:p>
    <w:p w14:paraId="5F045FE4" w14:textId="77777777" w:rsidR="00274BB2" w:rsidRDefault="00274BB2" w:rsidP="00E56589">
      <w:pPr>
        <w:spacing w:line="480" w:lineRule="auto"/>
      </w:pPr>
    </w:p>
    <w:p w14:paraId="45DFA809" w14:textId="77777777" w:rsidR="00274BB2" w:rsidRDefault="00274BB2" w:rsidP="00E56589">
      <w:pPr>
        <w:spacing w:line="480" w:lineRule="auto"/>
      </w:pPr>
    </w:p>
    <w:p w14:paraId="303E44ED" w14:textId="77777777" w:rsidR="00274BB2" w:rsidRDefault="00274BB2" w:rsidP="00E56589">
      <w:pPr>
        <w:spacing w:line="480" w:lineRule="auto"/>
      </w:pPr>
    </w:p>
    <w:p w14:paraId="5FE701E7" w14:textId="77777777" w:rsidR="00274BB2" w:rsidRDefault="00274BB2" w:rsidP="00E56589">
      <w:pPr>
        <w:spacing w:line="480" w:lineRule="auto"/>
      </w:pPr>
    </w:p>
    <w:p w14:paraId="3C40D189" w14:textId="77777777" w:rsidR="00274BB2" w:rsidRDefault="00274BB2" w:rsidP="00E56589">
      <w:pPr>
        <w:spacing w:line="480" w:lineRule="auto"/>
      </w:pPr>
    </w:p>
    <w:p w14:paraId="1DB34DB6" w14:textId="77777777" w:rsidR="00B21E69" w:rsidRDefault="00B21E69" w:rsidP="00E56589">
      <w:pPr>
        <w:spacing w:line="480" w:lineRule="auto"/>
      </w:pPr>
    </w:p>
    <w:p w14:paraId="02B909E6" w14:textId="77777777" w:rsidR="00B21E69" w:rsidRDefault="00B21E69" w:rsidP="00E56589">
      <w:pPr>
        <w:spacing w:line="480" w:lineRule="auto"/>
      </w:pPr>
    </w:p>
    <w:p w14:paraId="0FBD7AAC" w14:textId="77777777" w:rsidR="00103C21" w:rsidRDefault="00103C21" w:rsidP="00103C21">
      <w:pPr>
        <w:spacing w:line="480" w:lineRule="auto"/>
        <w:jc w:val="center"/>
      </w:pPr>
      <w:r>
        <w:t>Trend Analysis</w:t>
      </w:r>
    </w:p>
    <w:p w14:paraId="7317E237" w14:textId="77777777" w:rsidR="009E2E06" w:rsidRDefault="009E2E06" w:rsidP="00103C21">
      <w:pPr>
        <w:spacing w:line="480" w:lineRule="auto"/>
        <w:jc w:val="center"/>
      </w:pPr>
    </w:p>
    <w:p w14:paraId="764E3EA1" w14:textId="77777777" w:rsidR="00D1267C" w:rsidRDefault="00D1267C" w:rsidP="00B21E69">
      <w:pPr>
        <w:spacing w:line="480" w:lineRule="auto"/>
      </w:pPr>
      <w:r>
        <w:t>Liability Analysis</w:t>
      </w:r>
    </w:p>
    <w:tbl>
      <w:tblPr>
        <w:tblStyle w:val="TableGrid"/>
        <w:tblpPr w:leftFromText="180" w:rightFromText="180" w:vertAnchor="page" w:horzAnchor="page" w:tblpX="1909" w:tblpY="4141"/>
        <w:tblW w:w="0" w:type="auto"/>
        <w:tblLook w:val="04A0" w:firstRow="1" w:lastRow="0" w:firstColumn="1" w:lastColumn="0" w:noHBand="0" w:noVBand="1"/>
      </w:tblPr>
      <w:tblGrid>
        <w:gridCol w:w="2952"/>
        <w:gridCol w:w="2952"/>
        <w:gridCol w:w="2952"/>
      </w:tblGrid>
      <w:tr w:rsidR="009E2E06" w14:paraId="61C55F89" w14:textId="77777777" w:rsidTr="009E2E06">
        <w:tc>
          <w:tcPr>
            <w:tcW w:w="2952" w:type="dxa"/>
          </w:tcPr>
          <w:p w14:paraId="32C5A0FF" w14:textId="77777777" w:rsidR="009E2E06" w:rsidRDefault="009E2E06" w:rsidP="009E2E06">
            <w:pPr>
              <w:spacing w:line="480" w:lineRule="auto"/>
            </w:pPr>
          </w:p>
        </w:tc>
        <w:tc>
          <w:tcPr>
            <w:tcW w:w="2952" w:type="dxa"/>
          </w:tcPr>
          <w:p w14:paraId="62BE2FE0" w14:textId="77777777" w:rsidR="009E2E06" w:rsidRDefault="009E2E06" w:rsidP="009E2E06">
            <w:pPr>
              <w:spacing w:line="480" w:lineRule="auto"/>
              <w:jc w:val="center"/>
            </w:pPr>
            <w:r>
              <w:t>2009</w:t>
            </w:r>
          </w:p>
        </w:tc>
        <w:tc>
          <w:tcPr>
            <w:tcW w:w="2952" w:type="dxa"/>
          </w:tcPr>
          <w:p w14:paraId="353F8B07" w14:textId="77777777" w:rsidR="009E2E06" w:rsidRDefault="009E2E06" w:rsidP="009E2E06">
            <w:pPr>
              <w:spacing w:line="480" w:lineRule="auto"/>
              <w:jc w:val="center"/>
            </w:pPr>
            <w:r>
              <w:t>2013</w:t>
            </w:r>
          </w:p>
        </w:tc>
      </w:tr>
      <w:tr w:rsidR="009E2E06" w14:paraId="6687C2CB" w14:textId="77777777" w:rsidTr="009E2E06">
        <w:tc>
          <w:tcPr>
            <w:tcW w:w="2952" w:type="dxa"/>
          </w:tcPr>
          <w:p w14:paraId="6BEEFC5C" w14:textId="77777777" w:rsidR="009E2E06" w:rsidRDefault="009E2E06" w:rsidP="009E2E06">
            <w:pPr>
              <w:spacing w:line="480" w:lineRule="auto"/>
              <w:jc w:val="center"/>
            </w:pPr>
            <w:r>
              <w:t>Current Liabilities</w:t>
            </w:r>
          </w:p>
        </w:tc>
        <w:tc>
          <w:tcPr>
            <w:tcW w:w="2952" w:type="dxa"/>
          </w:tcPr>
          <w:p w14:paraId="4A543D59" w14:textId="77777777" w:rsidR="009E2E06" w:rsidRDefault="009E2E06" w:rsidP="009E2E06">
            <w:pPr>
              <w:spacing w:line="480" w:lineRule="auto"/>
              <w:jc w:val="center"/>
            </w:pPr>
            <w:r>
              <w:t>$101,089,073 (28%)</w:t>
            </w:r>
          </w:p>
        </w:tc>
        <w:tc>
          <w:tcPr>
            <w:tcW w:w="2952" w:type="dxa"/>
          </w:tcPr>
          <w:p w14:paraId="1CC256C7" w14:textId="77777777" w:rsidR="009E2E06" w:rsidRDefault="009E2E06" w:rsidP="009E2E06">
            <w:pPr>
              <w:spacing w:line="480" w:lineRule="auto"/>
              <w:jc w:val="center"/>
            </w:pPr>
            <w:r>
              <w:t>$123,544,874 (33%)</w:t>
            </w:r>
          </w:p>
        </w:tc>
      </w:tr>
      <w:tr w:rsidR="009E2E06" w14:paraId="71E48132" w14:textId="77777777" w:rsidTr="009E2E06">
        <w:tc>
          <w:tcPr>
            <w:tcW w:w="2952" w:type="dxa"/>
          </w:tcPr>
          <w:p w14:paraId="0148CFEC" w14:textId="77777777" w:rsidR="009E2E06" w:rsidRDefault="009E2E06" w:rsidP="009E2E06">
            <w:pPr>
              <w:spacing w:line="480" w:lineRule="auto"/>
              <w:jc w:val="center"/>
            </w:pPr>
            <w:r>
              <w:t>Long-term debt</w:t>
            </w:r>
          </w:p>
        </w:tc>
        <w:tc>
          <w:tcPr>
            <w:tcW w:w="2952" w:type="dxa"/>
          </w:tcPr>
          <w:p w14:paraId="615D52F8" w14:textId="77777777" w:rsidR="009E2E06" w:rsidRDefault="009E2E06" w:rsidP="009E2E06">
            <w:pPr>
              <w:spacing w:line="480" w:lineRule="auto"/>
              <w:jc w:val="center"/>
            </w:pPr>
            <w:r>
              <w:t>$248,388,733 (69%)</w:t>
            </w:r>
          </w:p>
        </w:tc>
        <w:tc>
          <w:tcPr>
            <w:tcW w:w="2952" w:type="dxa"/>
          </w:tcPr>
          <w:p w14:paraId="5444E3D0" w14:textId="77777777" w:rsidR="009E2E06" w:rsidRDefault="009E2E06" w:rsidP="009E2E06">
            <w:pPr>
              <w:spacing w:line="480" w:lineRule="auto"/>
              <w:jc w:val="center"/>
            </w:pPr>
            <w:r>
              <w:t>$228,557,040 (62%)</w:t>
            </w:r>
          </w:p>
        </w:tc>
      </w:tr>
      <w:tr w:rsidR="009E2E06" w14:paraId="770DFB2F" w14:textId="77777777" w:rsidTr="009E2E06">
        <w:tc>
          <w:tcPr>
            <w:tcW w:w="2952" w:type="dxa"/>
          </w:tcPr>
          <w:p w14:paraId="663D44D0" w14:textId="77777777" w:rsidR="009E2E06" w:rsidRDefault="009E2E06" w:rsidP="009E2E06">
            <w:pPr>
              <w:spacing w:line="480" w:lineRule="auto"/>
              <w:jc w:val="center"/>
            </w:pPr>
            <w:r>
              <w:t>Total Liabilities</w:t>
            </w:r>
          </w:p>
        </w:tc>
        <w:tc>
          <w:tcPr>
            <w:tcW w:w="2952" w:type="dxa"/>
          </w:tcPr>
          <w:p w14:paraId="5785BDE5" w14:textId="77777777" w:rsidR="009E2E06" w:rsidRDefault="009E2E06" w:rsidP="009E2E06">
            <w:pPr>
              <w:spacing w:line="480" w:lineRule="auto"/>
              <w:jc w:val="center"/>
            </w:pPr>
            <w:r>
              <w:t>$358,098,531 (100%)</w:t>
            </w:r>
          </w:p>
        </w:tc>
        <w:tc>
          <w:tcPr>
            <w:tcW w:w="2952" w:type="dxa"/>
          </w:tcPr>
          <w:p w14:paraId="40D2EE55" w14:textId="77777777" w:rsidR="009E2E06" w:rsidRDefault="009E2E06" w:rsidP="009E2E06">
            <w:pPr>
              <w:spacing w:line="480" w:lineRule="auto"/>
              <w:jc w:val="center"/>
            </w:pPr>
            <w:r>
              <w:t>$364,402,707 (100%)</w:t>
            </w:r>
          </w:p>
        </w:tc>
      </w:tr>
    </w:tbl>
    <w:p w14:paraId="6E6A1EC6" w14:textId="77777777" w:rsidR="00103C21" w:rsidRDefault="00103C21" w:rsidP="00D1267C">
      <w:pPr>
        <w:spacing w:line="480" w:lineRule="auto"/>
      </w:pPr>
    </w:p>
    <w:p w14:paraId="782B96ED" w14:textId="77777777" w:rsidR="009E2E06" w:rsidRDefault="009E2E06" w:rsidP="00D1267C">
      <w:pPr>
        <w:spacing w:line="480" w:lineRule="auto"/>
      </w:pPr>
    </w:p>
    <w:p w14:paraId="3B49EBD2" w14:textId="77777777" w:rsidR="009E2E06" w:rsidRDefault="009E2E06" w:rsidP="00D1267C">
      <w:pPr>
        <w:spacing w:line="480" w:lineRule="auto"/>
      </w:pPr>
    </w:p>
    <w:p w14:paraId="1DE8BC85" w14:textId="77777777" w:rsidR="009E2E06" w:rsidRDefault="009E2E06" w:rsidP="00D1267C">
      <w:pPr>
        <w:spacing w:line="480" w:lineRule="auto"/>
      </w:pPr>
    </w:p>
    <w:p w14:paraId="0494FD02" w14:textId="77777777" w:rsidR="009E2E06" w:rsidRDefault="009E2E06" w:rsidP="00D1267C">
      <w:pPr>
        <w:spacing w:line="480" w:lineRule="auto"/>
      </w:pPr>
    </w:p>
    <w:p w14:paraId="62BADC2A" w14:textId="77777777" w:rsidR="009E2E06" w:rsidRDefault="009E2E06" w:rsidP="00D1267C">
      <w:pPr>
        <w:spacing w:line="480" w:lineRule="auto"/>
      </w:pPr>
    </w:p>
    <w:p w14:paraId="359D1811" w14:textId="77777777" w:rsidR="009E2E06" w:rsidRDefault="009E2E06" w:rsidP="00D1267C">
      <w:pPr>
        <w:spacing w:line="480" w:lineRule="auto"/>
      </w:pPr>
    </w:p>
    <w:p w14:paraId="66B111B9" w14:textId="77777777" w:rsidR="009E2E06" w:rsidRDefault="009E2E06" w:rsidP="00D1267C">
      <w:pPr>
        <w:spacing w:line="480" w:lineRule="auto"/>
      </w:pPr>
    </w:p>
    <w:p w14:paraId="3201E656" w14:textId="77777777" w:rsidR="009E2E06" w:rsidRDefault="009E2E06" w:rsidP="00D1267C">
      <w:pPr>
        <w:spacing w:line="480" w:lineRule="auto"/>
      </w:pPr>
    </w:p>
    <w:p w14:paraId="0DEE3BF3" w14:textId="77777777" w:rsidR="009E2E06" w:rsidRDefault="009E2E06" w:rsidP="00D1267C">
      <w:pPr>
        <w:spacing w:line="480" w:lineRule="auto"/>
      </w:pPr>
    </w:p>
    <w:p w14:paraId="077E906E" w14:textId="77777777" w:rsidR="009E2E06" w:rsidRDefault="009E2E06" w:rsidP="00D1267C">
      <w:pPr>
        <w:spacing w:line="480" w:lineRule="auto"/>
      </w:pPr>
    </w:p>
    <w:p w14:paraId="1D777373" w14:textId="77777777" w:rsidR="009E2E06" w:rsidRDefault="009E2E06" w:rsidP="00D1267C">
      <w:pPr>
        <w:spacing w:line="480" w:lineRule="auto"/>
      </w:pPr>
    </w:p>
    <w:p w14:paraId="0A94D20E" w14:textId="77777777" w:rsidR="009E2E06" w:rsidRDefault="009E2E06" w:rsidP="00D1267C">
      <w:pPr>
        <w:spacing w:line="480" w:lineRule="auto"/>
      </w:pPr>
    </w:p>
    <w:p w14:paraId="0A4B1D4F" w14:textId="77777777" w:rsidR="009E2E06" w:rsidRDefault="009E2E06" w:rsidP="00D1267C">
      <w:pPr>
        <w:spacing w:line="480" w:lineRule="auto"/>
      </w:pPr>
    </w:p>
    <w:p w14:paraId="7EB01857" w14:textId="77777777" w:rsidR="009E2E06" w:rsidRDefault="009E2E06" w:rsidP="00D1267C">
      <w:pPr>
        <w:spacing w:line="480" w:lineRule="auto"/>
      </w:pPr>
    </w:p>
    <w:p w14:paraId="44A2CE19" w14:textId="77777777" w:rsidR="009E2E06" w:rsidRDefault="00FE0145" w:rsidP="00FE0145">
      <w:pPr>
        <w:spacing w:line="480" w:lineRule="auto"/>
        <w:jc w:val="center"/>
      </w:pPr>
      <w:r>
        <w:t>Conclusion</w:t>
      </w:r>
    </w:p>
    <w:p w14:paraId="34C95EBD" w14:textId="77777777" w:rsidR="00FE0145" w:rsidRDefault="00FE0145" w:rsidP="00FE0145">
      <w:pPr>
        <w:spacing w:line="480" w:lineRule="auto"/>
        <w:jc w:val="center"/>
      </w:pPr>
    </w:p>
    <w:p w14:paraId="2C444158" w14:textId="77777777" w:rsidR="00FE0145" w:rsidRDefault="00FE0145" w:rsidP="00FE0145">
      <w:pPr>
        <w:spacing w:line="480" w:lineRule="auto"/>
        <w:rPr>
          <w:i/>
        </w:rPr>
      </w:pPr>
      <w:r>
        <w:rPr>
          <w:i/>
        </w:rPr>
        <w:t>Results</w:t>
      </w:r>
      <w:r w:rsidR="0046053C">
        <w:rPr>
          <w:i/>
        </w:rPr>
        <w:t xml:space="preserve"> &amp; Impact</w:t>
      </w:r>
    </w:p>
    <w:p w14:paraId="518B87C9" w14:textId="77777777" w:rsidR="00FE0145" w:rsidRDefault="00FE0145" w:rsidP="00FE0145">
      <w:pPr>
        <w:spacing w:line="480" w:lineRule="auto"/>
      </w:pPr>
      <w:r>
        <w:tab/>
      </w:r>
      <w:r w:rsidR="008939DB">
        <w:t>The</w:t>
      </w:r>
      <w:r>
        <w:t xml:space="preserve"> Total Program and Supportin</w:t>
      </w:r>
      <w:r w:rsidR="008939DB">
        <w:t xml:space="preserve">g Services Expenses line graph shows that expenses steadily grew from about  $790,000,000 in 2009, to almost $950,000,000 in 2013.  The steady increase in expenses were due to inflation, </w:t>
      </w:r>
      <w:r w:rsidR="00D57C29">
        <w:t xml:space="preserve">increases in administration, salaries, and many other factors as shown in the financial statements.  The Cash Flow bar graph shows the financial growth of St Jude Hospital.  Overall, the cash flows have steadily increased </w:t>
      </w:r>
      <w:r w:rsidR="00BA0780">
        <w:t xml:space="preserve">over the years which correlate to the increased expenses as shown on the line graph. </w:t>
      </w:r>
    </w:p>
    <w:p w14:paraId="70E51A69" w14:textId="77777777" w:rsidR="00BA0780" w:rsidRDefault="00BA0780" w:rsidP="00FE0145">
      <w:pPr>
        <w:spacing w:line="480" w:lineRule="auto"/>
      </w:pPr>
      <w:r>
        <w:tab/>
        <w:t>Liquidity ratios such as the current ratio depict St. Jude’s ability to be liquid or how easily the organization is able to convert assets to cash.  St Jude’s current ratio was 6 to 1 in 2009, and 8 to 1 in 2013.  They have increased in liquidity over time.  Profitability is also very much important to investors and charitable organizations because they want to know how profitable St. Jude has been over the years.  The operating margin dropped from 4.9% in 2009 to 3.7% to 2013. The decrease shows that St. Jude is staying profitable because their revenues exceed operating costs.</w:t>
      </w:r>
    </w:p>
    <w:p w14:paraId="203319AB" w14:textId="77777777" w:rsidR="00BA0780" w:rsidRPr="00FE0145" w:rsidRDefault="00BA0780" w:rsidP="00FE0145">
      <w:pPr>
        <w:spacing w:line="480" w:lineRule="auto"/>
      </w:pPr>
      <w:r>
        <w:tab/>
        <w:t xml:space="preserve">Lastly, St. Jude’s </w:t>
      </w:r>
      <w:r w:rsidR="0046053C">
        <w:t>liabilities are</w:t>
      </w:r>
      <w:r>
        <w:t xml:space="preserve"> shown in a Trend Analysis of liabilities.  In 2013, St. Jude’s current liabilities have steadily increased yet long term liabilities decreased.  This indicts a favorable </w:t>
      </w:r>
      <w:r w:rsidR="0046053C">
        <w:t xml:space="preserve">statistic as St. Jude has been paying off their long-term debt.   Current liabilities can increase due to increased expenses and more patients.  </w:t>
      </w:r>
    </w:p>
    <w:p w14:paraId="636C81C5" w14:textId="77777777" w:rsidR="009E2E06" w:rsidRDefault="0046053C" w:rsidP="00D1267C">
      <w:pPr>
        <w:spacing w:line="480" w:lineRule="auto"/>
      </w:pPr>
      <w:r>
        <w:tab/>
        <w:t>Based on this Case Study, St. Jude Hospital has been moving in a positive direction since 2009.  Their long-term liabilities continue to decrease as revenues have been increasing steadily.  Investors and Charity organizations should be able to take a look at the financial statements and this Case Study and determine that St. Jude continues to be a profitable and steady organization.</w:t>
      </w:r>
    </w:p>
    <w:p w14:paraId="54BB5BCD" w14:textId="77777777" w:rsidR="009E2E06" w:rsidRDefault="009E2E06" w:rsidP="00D1267C">
      <w:pPr>
        <w:spacing w:line="480" w:lineRule="auto"/>
      </w:pPr>
    </w:p>
    <w:p w14:paraId="32BD9D44" w14:textId="77777777" w:rsidR="009E2E06" w:rsidRDefault="009E2E06" w:rsidP="00D1267C">
      <w:pPr>
        <w:spacing w:line="480" w:lineRule="auto"/>
      </w:pPr>
    </w:p>
    <w:p w14:paraId="2F4712B8" w14:textId="77777777" w:rsidR="009E2E06" w:rsidRDefault="009E2E06" w:rsidP="00D1267C">
      <w:pPr>
        <w:spacing w:line="480" w:lineRule="auto"/>
      </w:pPr>
    </w:p>
    <w:sectPr w:rsidR="009E2E06" w:rsidSect="00E26DDB">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AE14D" w14:textId="77777777" w:rsidR="00BA0780" w:rsidRDefault="00BA0780" w:rsidP="00FE0145">
      <w:r>
        <w:separator/>
      </w:r>
    </w:p>
  </w:endnote>
  <w:endnote w:type="continuationSeparator" w:id="0">
    <w:p w14:paraId="5E721FC3" w14:textId="77777777" w:rsidR="00BA0780" w:rsidRDefault="00BA0780" w:rsidP="00FE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59965" w14:textId="77777777" w:rsidR="00BA0780" w:rsidRDefault="00BA0780" w:rsidP="00FE01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8A92E1" w14:textId="77777777" w:rsidR="00BA0780" w:rsidRDefault="00BA0780" w:rsidP="00FE01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DAAAF" w14:textId="77777777" w:rsidR="00BA0780" w:rsidRDefault="00BA0780" w:rsidP="00FE01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053C">
      <w:rPr>
        <w:rStyle w:val="PageNumber"/>
        <w:noProof/>
      </w:rPr>
      <w:t>1</w:t>
    </w:r>
    <w:r>
      <w:rPr>
        <w:rStyle w:val="PageNumber"/>
      </w:rPr>
      <w:fldChar w:fldCharType="end"/>
    </w:r>
  </w:p>
  <w:p w14:paraId="2009F6E9" w14:textId="77777777" w:rsidR="00BA0780" w:rsidRDefault="00BA0780" w:rsidP="00FE014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B2096" w14:textId="77777777" w:rsidR="00BA0780" w:rsidRDefault="00BA0780" w:rsidP="00FE0145">
      <w:r>
        <w:separator/>
      </w:r>
    </w:p>
  </w:footnote>
  <w:footnote w:type="continuationSeparator" w:id="0">
    <w:p w14:paraId="7BEC8EDA" w14:textId="77777777" w:rsidR="00BA0780" w:rsidRDefault="00BA0780" w:rsidP="00FE01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E76A4"/>
    <w:multiLevelType w:val="hybridMultilevel"/>
    <w:tmpl w:val="97BA561A"/>
    <w:lvl w:ilvl="0" w:tplc="4B3C8988">
      <w:start w:val="20"/>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82"/>
    <w:rsid w:val="00015263"/>
    <w:rsid w:val="0002377A"/>
    <w:rsid w:val="000A7408"/>
    <w:rsid w:val="00103C21"/>
    <w:rsid w:val="002579C4"/>
    <w:rsid w:val="00274BB2"/>
    <w:rsid w:val="00307E79"/>
    <w:rsid w:val="00327C96"/>
    <w:rsid w:val="004276A0"/>
    <w:rsid w:val="0046053C"/>
    <w:rsid w:val="005C5154"/>
    <w:rsid w:val="006439F0"/>
    <w:rsid w:val="007B1F82"/>
    <w:rsid w:val="008939DB"/>
    <w:rsid w:val="009E2E06"/>
    <w:rsid w:val="00B21E69"/>
    <w:rsid w:val="00BA0780"/>
    <w:rsid w:val="00CA4B07"/>
    <w:rsid w:val="00D1267C"/>
    <w:rsid w:val="00D57C29"/>
    <w:rsid w:val="00E26DDB"/>
    <w:rsid w:val="00E56589"/>
    <w:rsid w:val="00FE0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90A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basedOn w:val="TOC3"/>
    <w:link w:val="Level3CharChar"/>
    <w:qFormat/>
    <w:rsid w:val="007B1F82"/>
    <w:pPr>
      <w:tabs>
        <w:tab w:val="right" w:leader="dot" w:pos="8630"/>
      </w:tabs>
      <w:spacing w:after="0"/>
      <w:ind w:left="400"/>
    </w:pPr>
    <w:rPr>
      <w:rFonts w:ascii="Times New Roman" w:eastAsia="Times New Roman" w:hAnsi="Times New Roman"/>
      <w:i/>
      <w:iCs/>
      <w:sz w:val="20"/>
      <w:szCs w:val="20"/>
    </w:rPr>
  </w:style>
  <w:style w:type="paragraph" w:customStyle="1" w:styleId="TOCTitle">
    <w:name w:val="TOC Title"/>
    <w:basedOn w:val="Normal"/>
    <w:qFormat/>
    <w:rsid w:val="007B1F82"/>
    <w:pPr>
      <w:spacing w:after="240"/>
      <w:jc w:val="center"/>
    </w:pPr>
    <w:rPr>
      <w:rFonts w:ascii="Times New Roman" w:eastAsia="Times New Roman" w:hAnsi="Times New Roman"/>
      <w:b/>
    </w:rPr>
  </w:style>
  <w:style w:type="character" w:customStyle="1" w:styleId="Level3CharChar">
    <w:name w:val="Level 3 Char Char"/>
    <w:link w:val="Level3"/>
    <w:rsid w:val="007B1F82"/>
    <w:rPr>
      <w:rFonts w:ascii="Times New Roman" w:eastAsia="Times New Roman" w:hAnsi="Times New Roman"/>
      <w:i/>
      <w:iCs/>
      <w:sz w:val="20"/>
      <w:szCs w:val="20"/>
    </w:rPr>
  </w:style>
  <w:style w:type="paragraph" w:customStyle="1" w:styleId="Level1">
    <w:name w:val="Level 1"/>
    <w:basedOn w:val="TOC1"/>
    <w:link w:val="Level1Char"/>
    <w:qFormat/>
    <w:rsid w:val="007B1F82"/>
    <w:pPr>
      <w:tabs>
        <w:tab w:val="right" w:leader="dot" w:pos="8630"/>
      </w:tabs>
      <w:spacing w:before="120" w:after="120"/>
    </w:pPr>
    <w:rPr>
      <w:rFonts w:ascii="Times New Roman" w:eastAsia="Times New Roman" w:hAnsi="Times New Roman"/>
      <w:b/>
      <w:bCs/>
      <w:caps/>
      <w:sz w:val="20"/>
      <w:szCs w:val="20"/>
    </w:rPr>
  </w:style>
  <w:style w:type="character" w:customStyle="1" w:styleId="Level1Char">
    <w:name w:val="Level 1 Char"/>
    <w:link w:val="Level1"/>
    <w:rsid w:val="007B1F82"/>
    <w:rPr>
      <w:rFonts w:ascii="Times New Roman" w:eastAsia="Times New Roman" w:hAnsi="Times New Roman"/>
      <w:b/>
      <w:bCs/>
      <w:caps/>
      <w:sz w:val="20"/>
      <w:szCs w:val="20"/>
    </w:rPr>
  </w:style>
  <w:style w:type="paragraph" w:customStyle="1" w:styleId="Level2">
    <w:name w:val="Level 2"/>
    <w:basedOn w:val="TOC2"/>
    <w:link w:val="Level2Char"/>
    <w:qFormat/>
    <w:rsid w:val="007B1F82"/>
    <w:pPr>
      <w:tabs>
        <w:tab w:val="right" w:leader="dot" w:pos="8630"/>
      </w:tabs>
      <w:spacing w:after="0"/>
      <w:ind w:left="200"/>
    </w:pPr>
    <w:rPr>
      <w:rFonts w:ascii="Times New Roman" w:eastAsia="Times New Roman" w:hAnsi="Times New Roman"/>
      <w:smallCaps/>
      <w:color w:val="000000"/>
      <w:sz w:val="20"/>
      <w:szCs w:val="20"/>
    </w:rPr>
  </w:style>
  <w:style w:type="character" w:customStyle="1" w:styleId="Level2Char">
    <w:name w:val="Level 2 Char"/>
    <w:link w:val="Level2"/>
    <w:rsid w:val="007B1F82"/>
    <w:rPr>
      <w:rFonts w:ascii="Times New Roman" w:eastAsia="Times New Roman" w:hAnsi="Times New Roman"/>
      <w:smallCaps/>
      <w:color w:val="000000"/>
      <w:sz w:val="20"/>
      <w:szCs w:val="20"/>
    </w:rPr>
  </w:style>
  <w:style w:type="paragraph" w:styleId="TOC3">
    <w:name w:val="toc 3"/>
    <w:basedOn w:val="Normal"/>
    <w:next w:val="Normal"/>
    <w:autoRedefine/>
    <w:uiPriority w:val="39"/>
    <w:semiHidden/>
    <w:unhideWhenUsed/>
    <w:rsid w:val="007B1F82"/>
    <w:pPr>
      <w:spacing w:after="100"/>
      <w:ind w:left="480"/>
    </w:pPr>
  </w:style>
  <w:style w:type="paragraph" w:styleId="TOC1">
    <w:name w:val="toc 1"/>
    <w:basedOn w:val="Normal"/>
    <w:next w:val="Normal"/>
    <w:autoRedefine/>
    <w:uiPriority w:val="39"/>
    <w:semiHidden/>
    <w:unhideWhenUsed/>
    <w:rsid w:val="007B1F82"/>
    <w:pPr>
      <w:spacing w:after="100"/>
    </w:pPr>
  </w:style>
  <w:style w:type="paragraph" w:styleId="TOC2">
    <w:name w:val="toc 2"/>
    <w:basedOn w:val="Normal"/>
    <w:next w:val="Normal"/>
    <w:autoRedefine/>
    <w:uiPriority w:val="39"/>
    <w:semiHidden/>
    <w:unhideWhenUsed/>
    <w:rsid w:val="007B1F82"/>
    <w:pPr>
      <w:spacing w:after="100"/>
      <w:ind w:left="240"/>
    </w:pPr>
  </w:style>
  <w:style w:type="paragraph" w:styleId="ListParagraph">
    <w:name w:val="List Paragraph"/>
    <w:basedOn w:val="Normal"/>
    <w:uiPriority w:val="34"/>
    <w:qFormat/>
    <w:rsid w:val="007B1F82"/>
    <w:pPr>
      <w:ind w:left="720"/>
      <w:contextualSpacing/>
    </w:pPr>
  </w:style>
  <w:style w:type="paragraph" w:styleId="BalloonText">
    <w:name w:val="Balloon Text"/>
    <w:basedOn w:val="Normal"/>
    <w:link w:val="BalloonTextChar"/>
    <w:uiPriority w:val="99"/>
    <w:semiHidden/>
    <w:unhideWhenUsed/>
    <w:rsid w:val="00CA4B07"/>
    <w:rPr>
      <w:rFonts w:ascii="Lucida Grande" w:hAnsi="Lucida Grande"/>
      <w:sz w:val="18"/>
      <w:szCs w:val="18"/>
    </w:rPr>
  </w:style>
  <w:style w:type="character" w:customStyle="1" w:styleId="BalloonTextChar">
    <w:name w:val="Balloon Text Char"/>
    <w:basedOn w:val="DefaultParagraphFont"/>
    <w:link w:val="BalloonText"/>
    <w:uiPriority w:val="99"/>
    <w:semiHidden/>
    <w:rsid w:val="00CA4B07"/>
    <w:rPr>
      <w:rFonts w:ascii="Lucida Grande" w:hAnsi="Lucida Grande"/>
      <w:sz w:val="18"/>
      <w:szCs w:val="18"/>
    </w:rPr>
  </w:style>
  <w:style w:type="table" w:styleId="TableGrid">
    <w:name w:val="Table Grid"/>
    <w:basedOn w:val="TableNormal"/>
    <w:uiPriority w:val="59"/>
    <w:rsid w:val="00103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D1267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D1267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1267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2">
    <w:name w:val="Medium Grid 2 Accent 2"/>
    <w:basedOn w:val="TableNormal"/>
    <w:uiPriority w:val="68"/>
    <w:rsid w:val="00D1267C"/>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Footer">
    <w:name w:val="footer"/>
    <w:basedOn w:val="Normal"/>
    <w:link w:val="FooterChar"/>
    <w:uiPriority w:val="99"/>
    <w:unhideWhenUsed/>
    <w:rsid w:val="00FE0145"/>
    <w:pPr>
      <w:tabs>
        <w:tab w:val="center" w:pos="4320"/>
        <w:tab w:val="right" w:pos="8640"/>
      </w:tabs>
    </w:pPr>
  </w:style>
  <w:style w:type="character" w:customStyle="1" w:styleId="FooterChar">
    <w:name w:val="Footer Char"/>
    <w:basedOn w:val="DefaultParagraphFont"/>
    <w:link w:val="Footer"/>
    <w:uiPriority w:val="99"/>
    <w:rsid w:val="00FE0145"/>
  </w:style>
  <w:style w:type="character" w:styleId="PageNumber">
    <w:name w:val="page number"/>
    <w:basedOn w:val="DefaultParagraphFont"/>
    <w:uiPriority w:val="99"/>
    <w:semiHidden/>
    <w:unhideWhenUsed/>
    <w:rsid w:val="00FE01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basedOn w:val="TOC3"/>
    <w:link w:val="Level3CharChar"/>
    <w:qFormat/>
    <w:rsid w:val="007B1F82"/>
    <w:pPr>
      <w:tabs>
        <w:tab w:val="right" w:leader="dot" w:pos="8630"/>
      </w:tabs>
      <w:spacing w:after="0"/>
      <w:ind w:left="400"/>
    </w:pPr>
    <w:rPr>
      <w:rFonts w:ascii="Times New Roman" w:eastAsia="Times New Roman" w:hAnsi="Times New Roman"/>
      <w:i/>
      <w:iCs/>
      <w:sz w:val="20"/>
      <w:szCs w:val="20"/>
    </w:rPr>
  </w:style>
  <w:style w:type="paragraph" w:customStyle="1" w:styleId="TOCTitle">
    <w:name w:val="TOC Title"/>
    <w:basedOn w:val="Normal"/>
    <w:qFormat/>
    <w:rsid w:val="007B1F82"/>
    <w:pPr>
      <w:spacing w:after="240"/>
      <w:jc w:val="center"/>
    </w:pPr>
    <w:rPr>
      <w:rFonts w:ascii="Times New Roman" w:eastAsia="Times New Roman" w:hAnsi="Times New Roman"/>
      <w:b/>
    </w:rPr>
  </w:style>
  <w:style w:type="character" w:customStyle="1" w:styleId="Level3CharChar">
    <w:name w:val="Level 3 Char Char"/>
    <w:link w:val="Level3"/>
    <w:rsid w:val="007B1F82"/>
    <w:rPr>
      <w:rFonts w:ascii="Times New Roman" w:eastAsia="Times New Roman" w:hAnsi="Times New Roman"/>
      <w:i/>
      <w:iCs/>
      <w:sz w:val="20"/>
      <w:szCs w:val="20"/>
    </w:rPr>
  </w:style>
  <w:style w:type="paragraph" w:customStyle="1" w:styleId="Level1">
    <w:name w:val="Level 1"/>
    <w:basedOn w:val="TOC1"/>
    <w:link w:val="Level1Char"/>
    <w:qFormat/>
    <w:rsid w:val="007B1F82"/>
    <w:pPr>
      <w:tabs>
        <w:tab w:val="right" w:leader="dot" w:pos="8630"/>
      </w:tabs>
      <w:spacing w:before="120" w:after="120"/>
    </w:pPr>
    <w:rPr>
      <w:rFonts w:ascii="Times New Roman" w:eastAsia="Times New Roman" w:hAnsi="Times New Roman"/>
      <w:b/>
      <w:bCs/>
      <w:caps/>
      <w:sz w:val="20"/>
      <w:szCs w:val="20"/>
    </w:rPr>
  </w:style>
  <w:style w:type="character" w:customStyle="1" w:styleId="Level1Char">
    <w:name w:val="Level 1 Char"/>
    <w:link w:val="Level1"/>
    <w:rsid w:val="007B1F82"/>
    <w:rPr>
      <w:rFonts w:ascii="Times New Roman" w:eastAsia="Times New Roman" w:hAnsi="Times New Roman"/>
      <w:b/>
      <w:bCs/>
      <w:caps/>
      <w:sz w:val="20"/>
      <w:szCs w:val="20"/>
    </w:rPr>
  </w:style>
  <w:style w:type="paragraph" w:customStyle="1" w:styleId="Level2">
    <w:name w:val="Level 2"/>
    <w:basedOn w:val="TOC2"/>
    <w:link w:val="Level2Char"/>
    <w:qFormat/>
    <w:rsid w:val="007B1F82"/>
    <w:pPr>
      <w:tabs>
        <w:tab w:val="right" w:leader="dot" w:pos="8630"/>
      </w:tabs>
      <w:spacing w:after="0"/>
      <w:ind w:left="200"/>
    </w:pPr>
    <w:rPr>
      <w:rFonts w:ascii="Times New Roman" w:eastAsia="Times New Roman" w:hAnsi="Times New Roman"/>
      <w:smallCaps/>
      <w:color w:val="000000"/>
      <w:sz w:val="20"/>
      <w:szCs w:val="20"/>
    </w:rPr>
  </w:style>
  <w:style w:type="character" w:customStyle="1" w:styleId="Level2Char">
    <w:name w:val="Level 2 Char"/>
    <w:link w:val="Level2"/>
    <w:rsid w:val="007B1F82"/>
    <w:rPr>
      <w:rFonts w:ascii="Times New Roman" w:eastAsia="Times New Roman" w:hAnsi="Times New Roman"/>
      <w:smallCaps/>
      <w:color w:val="000000"/>
      <w:sz w:val="20"/>
      <w:szCs w:val="20"/>
    </w:rPr>
  </w:style>
  <w:style w:type="paragraph" w:styleId="TOC3">
    <w:name w:val="toc 3"/>
    <w:basedOn w:val="Normal"/>
    <w:next w:val="Normal"/>
    <w:autoRedefine/>
    <w:uiPriority w:val="39"/>
    <w:semiHidden/>
    <w:unhideWhenUsed/>
    <w:rsid w:val="007B1F82"/>
    <w:pPr>
      <w:spacing w:after="100"/>
      <w:ind w:left="480"/>
    </w:pPr>
  </w:style>
  <w:style w:type="paragraph" w:styleId="TOC1">
    <w:name w:val="toc 1"/>
    <w:basedOn w:val="Normal"/>
    <w:next w:val="Normal"/>
    <w:autoRedefine/>
    <w:uiPriority w:val="39"/>
    <w:semiHidden/>
    <w:unhideWhenUsed/>
    <w:rsid w:val="007B1F82"/>
    <w:pPr>
      <w:spacing w:after="100"/>
    </w:pPr>
  </w:style>
  <w:style w:type="paragraph" w:styleId="TOC2">
    <w:name w:val="toc 2"/>
    <w:basedOn w:val="Normal"/>
    <w:next w:val="Normal"/>
    <w:autoRedefine/>
    <w:uiPriority w:val="39"/>
    <w:semiHidden/>
    <w:unhideWhenUsed/>
    <w:rsid w:val="007B1F82"/>
    <w:pPr>
      <w:spacing w:after="100"/>
      <w:ind w:left="240"/>
    </w:pPr>
  </w:style>
  <w:style w:type="paragraph" w:styleId="ListParagraph">
    <w:name w:val="List Paragraph"/>
    <w:basedOn w:val="Normal"/>
    <w:uiPriority w:val="34"/>
    <w:qFormat/>
    <w:rsid w:val="007B1F82"/>
    <w:pPr>
      <w:ind w:left="720"/>
      <w:contextualSpacing/>
    </w:pPr>
  </w:style>
  <w:style w:type="paragraph" w:styleId="BalloonText">
    <w:name w:val="Balloon Text"/>
    <w:basedOn w:val="Normal"/>
    <w:link w:val="BalloonTextChar"/>
    <w:uiPriority w:val="99"/>
    <w:semiHidden/>
    <w:unhideWhenUsed/>
    <w:rsid w:val="00CA4B07"/>
    <w:rPr>
      <w:rFonts w:ascii="Lucida Grande" w:hAnsi="Lucida Grande"/>
      <w:sz w:val="18"/>
      <w:szCs w:val="18"/>
    </w:rPr>
  </w:style>
  <w:style w:type="character" w:customStyle="1" w:styleId="BalloonTextChar">
    <w:name w:val="Balloon Text Char"/>
    <w:basedOn w:val="DefaultParagraphFont"/>
    <w:link w:val="BalloonText"/>
    <w:uiPriority w:val="99"/>
    <w:semiHidden/>
    <w:rsid w:val="00CA4B07"/>
    <w:rPr>
      <w:rFonts w:ascii="Lucida Grande" w:hAnsi="Lucida Grande"/>
      <w:sz w:val="18"/>
      <w:szCs w:val="18"/>
    </w:rPr>
  </w:style>
  <w:style w:type="table" w:styleId="TableGrid">
    <w:name w:val="Table Grid"/>
    <w:basedOn w:val="TableNormal"/>
    <w:uiPriority w:val="59"/>
    <w:rsid w:val="00103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D1267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D1267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1267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2">
    <w:name w:val="Medium Grid 2 Accent 2"/>
    <w:basedOn w:val="TableNormal"/>
    <w:uiPriority w:val="68"/>
    <w:rsid w:val="00D1267C"/>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Footer">
    <w:name w:val="footer"/>
    <w:basedOn w:val="Normal"/>
    <w:link w:val="FooterChar"/>
    <w:uiPriority w:val="99"/>
    <w:unhideWhenUsed/>
    <w:rsid w:val="00FE0145"/>
    <w:pPr>
      <w:tabs>
        <w:tab w:val="center" w:pos="4320"/>
        <w:tab w:val="right" w:pos="8640"/>
      </w:tabs>
    </w:pPr>
  </w:style>
  <w:style w:type="character" w:customStyle="1" w:styleId="FooterChar">
    <w:name w:val="Footer Char"/>
    <w:basedOn w:val="DefaultParagraphFont"/>
    <w:link w:val="Footer"/>
    <w:uiPriority w:val="99"/>
    <w:rsid w:val="00FE0145"/>
  </w:style>
  <w:style w:type="character" w:styleId="PageNumber">
    <w:name w:val="page number"/>
    <w:basedOn w:val="DefaultParagraphFont"/>
    <w:uiPriority w:val="99"/>
    <w:semiHidden/>
    <w:unhideWhenUsed/>
    <w:rsid w:val="00FE0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lineChart>
        <c:grouping val="stacked"/>
        <c:varyColors val="0"/>
        <c:ser>
          <c:idx val="0"/>
          <c:order val="0"/>
          <c:tx>
            <c:strRef>
              <c:f>Sheet1!$B$1</c:f>
              <c:strCache>
                <c:ptCount val="1"/>
                <c:pt idx="0">
                  <c:v>Total Program and Supporting Services Expenses</c:v>
                </c:pt>
              </c:strCache>
            </c:strRef>
          </c:tx>
          <c:cat>
            <c:numRef>
              <c:f>Sheet1!$A$2:$A$5</c:f>
              <c:numCache>
                <c:formatCode>General</c:formatCode>
                <c:ptCount val="4"/>
                <c:pt idx="0">
                  <c:v>2009.0</c:v>
                </c:pt>
                <c:pt idx="1">
                  <c:v>2010.0</c:v>
                </c:pt>
                <c:pt idx="2">
                  <c:v>2012.0</c:v>
                </c:pt>
                <c:pt idx="3">
                  <c:v>2013.0</c:v>
                </c:pt>
              </c:numCache>
            </c:numRef>
          </c:cat>
          <c:val>
            <c:numRef>
              <c:f>Sheet1!$B$2:$B$5</c:f>
              <c:numCache>
                <c:formatCode>"$"#,##0.00</c:formatCode>
                <c:ptCount val="4"/>
                <c:pt idx="0">
                  <c:v>7.92827356E8</c:v>
                </c:pt>
                <c:pt idx="1">
                  <c:v>8.34745332E8</c:v>
                </c:pt>
                <c:pt idx="2">
                  <c:v>9.00835267E8</c:v>
                </c:pt>
                <c:pt idx="3">
                  <c:v>9.35750984E8</c:v>
                </c:pt>
              </c:numCache>
            </c:numRef>
          </c:val>
          <c:smooth val="0"/>
        </c:ser>
        <c:dLbls>
          <c:showLegendKey val="0"/>
          <c:showVal val="0"/>
          <c:showCatName val="0"/>
          <c:showSerName val="0"/>
          <c:showPercent val="0"/>
          <c:showBubbleSize val="0"/>
        </c:dLbls>
        <c:marker val="1"/>
        <c:smooth val="0"/>
        <c:axId val="2133464904"/>
        <c:axId val="-2120861512"/>
      </c:lineChart>
      <c:catAx>
        <c:axId val="2133464904"/>
        <c:scaling>
          <c:orientation val="minMax"/>
        </c:scaling>
        <c:delete val="0"/>
        <c:axPos val="b"/>
        <c:numFmt formatCode="General" sourceLinked="1"/>
        <c:majorTickMark val="out"/>
        <c:minorTickMark val="none"/>
        <c:tickLblPos val="nextTo"/>
        <c:crossAx val="-2120861512"/>
        <c:crosses val="autoZero"/>
        <c:auto val="1"/>
        <c:lblAlgn val="ctr"/>
        <c:lblOffset val="100"/>
        <c:noMultiLvlLbl val="0"/>
      </c:catAx>
      <c:valAx>
        <c:axId val="-2120861512"/>
        <c:scaling>
          <c:orientation val="minMax"/>
        </c:scaling>
        <c:delete val="0"/>
        <c:axPos val="l"/>
        <c:majorGridlines/>
        <c:numFmt formatCode="&quot;$&quot;#,##0.00" sourceLinked="1"/>
        <c:majorTickMark val="out"/>
        <c:minorTickMark val="none"/>
        <c:tickLblPos val="nextTo"/>
        <c:crossAx val="21334649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0.192467009332167"/>
          <c:y val="0.0819299044151115"/>
          <c:w val="0.437723097112861"/>
          <c:h val="0.825520125869564"/>
        </c:manualLayout>
      </c:layout>
      <c:barChart>
        <c:barDir val="col"/>
        <c:grouping val="clustered"/>
        <c:varyColors val="0"/>
        <c:ser>
          <c:idx val="0"/>
          <c:order val="0"/>
          <c:tx>
            <c:strRef>
              <c:f>Sheet1!$B$1</c:f>
              <c:strCache>
                <c:ptCount val="1"/>
                <c:pt idx="0">
                  <c:v>Net Cash Provided By Operating Activities</c:v>
                </c:pt>
              </c:strCache>
            </c:strRef>
          </c:tx>
          <c:invertIfNegative val="0"/>
          <c:cat>
            <c:numRef>
              <c:f>Sheet1!$A$2:$A$5</c:f>
              <c:numCache>
                <c:formatCode>General</c:formatCode>
                <c:ptCount val="4"/>
                <c:pt idx="0">
                  <c:v>2009.0</c:v>
                </c:pt>
                <c:pt idx="1">
                  <c:v>2010.0</c:v>
                </c:pt>
                <c:pt idx="2">
                  <c:v>2012.0</c:v>
                </c:pt>
                <c:pt idx="3">
                  <c:v>2013.0</c:v>
                </c:pt>
              </c:numCache>
            </c:numRef>
          </c:cat>
          <c:val>
            <c:numRef>
              <c:f>Sheet1!$B$2:$B$5</c:f>
              <c:numCache>
                <c:formatCode>"$"#,##0.00</c:formatCode>
                <c:ptCount val="4"/>
                <c:pt idx="0">
                  <c:v>1.30689909E8</c:v>
                </c:pt>
                <c:pt idx="1">
                  <c:v>1.12182241E8</c:v>
                </c:pt>
                <c:pt idx="2">
                  <c:v>1.96604874E8</c:v>
                </c:pt>
                <c:pt idx="3">
                  <c:v>2.57052063E8</c:v>
                </c:pt>
              </c:numCache>
            </c:numRef>
          </c:val>
        </c:ser>
        <c:ser>
          <c:idx val="1"/>
          <c:order val="1"/>
          <c:tx>
            <c:strRef>
              <c:f>Sheet1!$C$1</c:f>
              <c:strCache>
                <c:ptCount val="1"/>
                <c:pt idx="0">
                  <c:v>Cash Flows From Investing Activities</c:v>
                </c:pt>
              </c:strCache>
            </c:strRef>
          </c:tx>
          <c:invertIfNegative val="0"/>
          <c:cat>
            <c:numRef>
              <c:f>Sheet1!$A$2:$A$5</c:f>
              <c:numCache>
                <c:formatCode>General</c:formatCode>
                <c:ptCount val="4"/>
                <c:pt idx="0">
                  <c:v>2009.0</c:v>
                </c:pt>
                <c:pt idx="1">
                  <c:v>2010.0</c:v>
                </c:pt>
                <c:pt idx="2">
                  <c:v>2012.0</c:v>
                </c:pt>
                <c:pt idx="3">
                  <c:v>2013.0</c:v>
                </c:pt>
              </c:numCache>
            </c:numRef>
          </c:cat>
          <c:val>
            <c:numRef>
              <c:f>Sheet1!$C$2:$C$5</c:f>
              <c:numCache>
                <c:formatCode>"$"#,##0.00</c:formatCode>
                <c:ptCount val="4"/>
                <c:pt idx="0">
                  <c:v>1.12819396E8</c:v>
                </c:pt>
                <c:pt idx="1">
                  <c:v>1.21052725E8</c:v>
                </c:pt>
                <c:pt idx="2">
                  <c:v>2.03065793E8</c:v>
                </c:pt>
                <c:pt idx="3">
                  <c:v>2.93791737E8</c:v>
                </c:pt>
              </c:numCache>
            </c:numRef>
          </c:val>
        </c:ser>
        <c:ser>
          <c:idx val="2"/>
          <c:order val="2"/>
          <c:tx>
            <c:strRef>
              <c:f>Sheet1!$D$1</c:f>
              <c:strCache>
                <c:ptCount val="1"/>
                <c:pt idx="0">
                  <c:v>Cash and Cash Equivalents (End of year)</c:v>
                </c:pt>
              </c:strCache>
            </c:strRef>
          </c:tx>
          <c:invertIfNegative val="0"/>
          <c:cat>
            <c:numRef>
              <c:f>Sheet1!$A$2:$A$5</c:f>
              <c:numCache>
                <c:formatCode>General</c:formatCode>
                <c:ptCount val="4"/>
                <c:pt idx="0">
                  <c:v>2009.0</c:v>
                </c:pt>
                <c:pt idx="1">
                  <c:v>2010.0</c:v>
                </c:pt>
                <c:pt idx="2">
                  <c:v>2012.0</c:v>
                </c:pt>
                <c:pt idx="3">
                  <c:v>2013.0</c:v>
                </c:pt>
              </c:numCache>
            </c:numRef>
          </c:cat>
          <c:val>
            <c:numRef>
              <c:f>Sheet1!$D$2:$D$5</c:f>
              <c:numCache>
                <c:formatCode>"$"#,##0.00</c:formatCode>
                <c:ptCount val="4"/>
                <c:pt idx="0">
                  <c:v>1.0033849E8</c:v>
                </c:pt>
                <c:pt idx="1">
                  <c:v>9.2353799E7</c:v>
                </c:pt>
                <c:pt idx="2">
                  <c:v>8.4035939E7</c:v>
                </c:pt>
                <c:pt idx="3">
                  <c:v>4.2378176E7</c:v>
                </c:pt>
              </c:numCache>
            </c:numRef>
          </c:val>
        </c:ser>
        <c:dLbls>
          <c:showLegendKey val="0"/>
          <c:showVal val="0"/>
          <c:showCatName val="0"/>
          <c:showSerName val="0"/>
          <c:showPercent val="0"/>
          <c:showBubbleSize val="0"/>
        </c:dLbls>
        <c:gapWidth val="150"/>
        <c:axId val="-2104823544"/>
        <c:axId val="-2104820504"/>
      </c:barChart>
      <c:catAx>
        <c:axId val="-2104823544"/>
        <c:scaling>
          <c:orientation val="minMax"/>
        </c:scaling>
        <c:delete val="0"/>
        <c:axPos val="b"/>
        <c:numFmt formatCode="General" sourceLinked="1"/>
        <c:majorTickMark val="out"/>
        <c:minorTickMark val="none"/>
        <c:tickLblPos val="nextTo"/>
        <c:crossAx val="-2104820504"/>
        <c:crosses val="autoZero"/>
        <c:auto val="1"/>
        <c:lblAlgn val="ctr"/>
        <c:lblOffset val="100"/>
        <c:noMultiLvlLbl val="0"/>
      </c:catAx>
      <c:valAx>
        <c:axId val="-2104820504"/>
        <c:scaling>
          <c:orientation val="minMax"/>
        </c:scaling>
        <c:delete val="0"/>
        <c:axPos val="l"/>
        <c:majorGridlines/>
        <c:numFmt formatCode="&quot;$&quot;#,##0.00" sourceLinked="1"/>
        <c:majorTickMark val="out"/>
        <c:minorTickMark val="none"/>
        <c:tickLblPos val="nextTo"/>
        <c:crossAx val="-210482354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9</Pages>
  <Words>718</Words>
  <Characters>4096</Characters>
  <Application>Microsoft Macintosh Word</Application>
  <DocSecurity>0</DocSecurity>
  <Lines>34</Lines>
  <Paragraphs>9</Paragraphs>
  <ScaleCrop>false</ScaleCrop>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BC</dc:creator>
  <cp:keywords/>
  <dc:description/>
  <cp:lastModifiedBy>BC BC</cp:lastModifiedBy>
  <cp:revision>2</cp:revision>
  <cp:lastPrinted>2014-12-03T07:00:00Z</cp:lastPrinted>
  <dcterms:created xsi:type="dcterms:W3CDTF">2014-12-03T03:25:00Z</dcterms:created>
  <dcterms:modified xsi:type="dcterms:W3CDTF">2014-12-03T07:00:00Z</dcterms:modified>
</cp:coreProperties>
</file>